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line="288" w:lineRule="auto"/>
        <w:ind w:right="2"/>
        <w:rPr>
          <w:rFonts w:hint="default" w:ascii="Arial" w:hAnsi="Arial" w:eastAsia="等线" w:cs="Arial"/>
          <w:b/>
          <w:bCs/>
          <w:lang w:val="en-US" w:eastAsia="zh-CN"/>
        </w:rPr>
      </w:pPr>
      <w:r>
        <w:rPr>
          <w:rFonts w:ascii="Arial" w:hAnsi="Arial" w:cs="Arial"/>
          <w:b/>
          <w:bCs/>
          <w:lang w:val="de-DE"/>
        </w:rPr>
        <w:t>3GPP TSG RAN WG1 #109-e</w:t>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R1-220</w:t>
      </w:r>
      <w:r>
        <w:rPr>
          <w:rFonts w:hint="eastAsia" w:ascii="Arial" w:hAnsi="Arial" w:cs="Arial"/>
          <w:b/>
          <w:bCs/>
          <w:lang w:val="en-US" w:eastAsia="zh-CN"/>
        </w:rPr>
        <w:t>5538</w:t>
      </w:r>
    </w:p>
    <w:p>
      <w:pPr>
        <w:tabs>
          <w:tab w:val="center" w:pos="4536"/>
          <w:tab w:val="right" w:pos="9072"/>
        </w:tabs>
        <w:snapToGrid w:val="0"/>
        <w:spacing w:line="288" w:lineRule="auto"/>
        <w:rPr>
          <w:sz w:val="20"/>
        </w:rPr>
      </w:pPr>
      <w:r>
        <w:rPr>
          <w:rFonts w:ascii="Arial" w:hAnsi="Arial" w:eastAsia="MS Mincho" w:cs="Arial"/>
          <w:b/>
          <w:bCs/>
          <w:lang w:eastAsia="ja-JP"/>
        </w:rPr>
        <w:t>e-Meeting, May 9</w:t>
      </w:r>
      <w:r>
        <w:rPr>
          <w:rFonts w:ascii="Arial" w:hAnsi="Arial" w:eastAsia="MS Mincho" w:cs="Arial"/>
          <w:b/>
          <w:bCs/>
          <w:vertAlign w:val="superscript"/>
          <w:lang w:eastAsia="ja-JP"/>
        </w:rPr>
        <w:t>th</w:t>
      </w:r>
      <w:r>
        <w:rPr>
          <w:rFonts w:ascii="Arial" w:hAnsi="Arial" w:eastAsia="MS Mincho" w:cs="Arial"/>
          <w:b/>
          <w:bCs/>
          <w:lang w:eastAsia="ja-JP"/>
        </w:rPr>
        <w:t xml:space="preserve"> –  20</w:t>
      </w:r>
      <w:r>
        <w:rPr>
          <w:rFonts w:ascii="Arial" w:hAnsi="Arial" w:eastAsia="MS Mincho" w:cs="Arial"/>
          <w:b/>
          <w:bCs/>
          <w:vertAlign w:val="superscript"/>
          <w:lang w:eastAsia="ja-JP"/>
        </w:rPr>
        <w:t>th</w:t>
      </w:r>
      <w:r>
        <w:rPr>
          <w:rFonts w:ascii="Arial" w:hAnsi="Arial" w:eastAsia="MS Mincho" w:cs="Arial"/>
          <w:b/>
          <w:bCs/>
          <w:lang w:eastAsia="ja-JP"/>
        </w:rPr>
        <w:t xml:space="preserve">, 2022 </w:t>
      </w:r>
    </w:p>
    <w:p>
      <w:pPr>
        <w:tabs>
          <w:tab w:val="center" w:pos="4536"/>
          <w:tab w:val="right" w:pos="9072"/>
        </w:tabs>
        <w:snapToGrid w:val="0"/>
        <w:spacing w:line="288" w:lineRule="auto"/>
        <w:rPr>
          <w:rFonts w:ascii="Arial" w:hAnsi="Arial" w:cs="Arial"/>
          <w:b/>
          <w:bCs/>
        </w:rPr>
      </w:pPr>
    </w:p>
    <w:p>
      <w:pPr>
        <w:tabs>
          <w:tab w:val="left" w:pos="1985"/>
        </w:tabs>
        <w:snapToGrid w:val="0"/>
        <w:spacing w:line="288" w:lineRule="auto"/>
        <w:ind w:left="1872" w:hanging="1872"/>
        <w:rPr>
          <w:b/>
          <w:lang w:eastAsia="zh-CN"/>
        </w:rPr>
      </w:pPr>
      <w:r>
        <w:rPr>
          <w:rFonts w:ascii="Arial" w:hAnsi="Arial" w:cs="Arial"/>
          <w:b/>
        </w:rPr>
        <w:t>Agenda item:</w:t>
      </w:r>
      <w:r>
        <w:rPr>
          <w:rFonts w:ascii="Arial" w:hAnsi="Arial" w:cs="Arial"/>
          <w:b/>
        </w:rPr>
        <w:tab/>
      </w:r>
      <w:bookmarkStart w:id="0" w:name="Source"/>
      <w:bookmarkEnd w:id="0"/>
      <w:r>
        <w:rPr>
          <w:rFonts w:ascii="Arial" w:hAnsi="Arial" w:cs="Arial"/>
          <w:b/>
        </w:rPr>
        <w:t>8.1.</w:t>
      </w:r>
      <w:r>
        <w:rPr>
          <w:rFonts w:hint="eastAsia" w:ascii="Arial" w:hAnsi="Arial" w:cs="Arial"/>
          <w:b/>
          <w:lang w:eastAsia="zh-CN"/>
        </w:rPr>
        <w:t>3</w:t>
      </w:r>
    </w:p>
    <w:p>
      <w:pPr>
        <w:tabs>
          <w:tab w:val="left" w:pos="1985"/>
        </w:tabs>
        <w:snapToGrid w:val="0"/>
        <w:spacing w:line="288" w:lineRule="auto"/>
        <w:ind w:left="1872" w:hanging="1872"/>
        <w:rPr>
          <w:b/>
        </w:rPr>
      </w:pPr>
      <w:r>
        <w:rPr>
          <w:rFonts w:ascii="Arial" w:hAnsi="Arial" w:cs="Arial"/>
          <w:b/>
        </w:rPr>
        <w:t xml:space="preserve">Source: </w:t>
      </w:r>
      <w:r>
        <w:rPr>
          <w:rFonts w:ascii="Arial" w:hAnsi="Arial" w:cs="Arial"/>
          <w:b/>
        </w:rPr>
        <w:tab/>
      </w:r>
      <w:r>
        <w:rPr>
          <w:rFonts w:ascii="Arial" w:hAnsi="Arial" w:cs="Arial"/>
          <w:b/>
        </w:rPr>
        <w:t>Moderator (</w:t>
      </w:r>
      <w:r>
        <w:rPr>
          <w:rFonts w:hint="eastAsia" w:ascii="Arial" w:hAnsi="Arial" w:cs="Arial"/>
          <w:b/>
          <w:lang w:eastAsia="zh-CN"/>
        </w:rPr>
        <w:t>ZTE</w:t>
      </w:r>
      <w:r>
        <w:rPr>
          <w:rFonts w:ascii="Arial" w:hAnsi="Arial" w:cs="Arial"/>
          <w:b/>
        </w:rPr>
        <w:t>)</w:t>
      </w:r>
    </w:p>
    <w:p>
      <w:pPr>
        <w:tabs>
          <w:tab w:val="left" w:pos="1985"/>
        </w:tabs>
        <w:snapToGrid w:val="0"/>
        <w:spacing w:line="288" w:lineRule="auto"/>
        <w:ind w:left="1872" w:hanging="1872"/>
        <w:rPr>
          <w:b/>
        </w:rPr>
      </w:pPr>
      <w:r>
        <w:rPr>
          <w:rFonts w:ascii="Arial" w:hAnsi="Arial" w:cs="Arial"/>
          <w:b/>
        </w:rPr>
        <w:t xml:space="preserve">Title: </w:t>
      </w:r>
      <w:r>
        <w:rPr>
          <w:rFonts w:ascii="Arial" w:hAnsi="Arial" w:cs="Arial"/>
          <w:b/>
        </w:rPr>
        <w:tab/>
      </w:r>
      <w:r>
        <w:rPr>
          <w:rFonts w:hint="eastAsia" w:ascii="Arial" w:hAnsi="Arial" w:cs="Arial"/>
          <w:b/>
          <w:lang w:val="en-US" w:eastAsia="zh-CN"/>
        </w:rPr>
        <w:t>Further E</w:t>
      </w:r>
      <w:r>
        <w:rPr>
          <w:rFonts w:ascii="Arial" w:hAnsi="Arial" w:eastAsia="宋体" w:cs="Arial"/>
          <w:b/>
          <w:i w:val="0"/>
          <w:caps w:val="0"/>
          <w:color w:val="000000"/>
          <w:spacing w:val="0"/>
          <w:sz w:val="24"/>
          <w:szCs w:val="24"/>
          <w:shd w:val="clear" w:fill="FFFFFF"/>
        </w:rPr>
        <w:t>ndorsed TP for Maintenance on Rel-17 SRS</w:t>
      </w:r>
      <w:r>
        <w:rPr>
          <w:rFonts w:ascii="Arial" w:hAnsi="Arial" w:cs="Arial"/>
          <w:b/>
        </w:rPr>
        <w:t xml:space="preserve"> </w:t>
      </w:r>
    </w:p>
    <w:p>
      <w:pPr>
        <w:pBdr>
          <w:bottom w:val="single" w:color="000000" w:sz="6" w:space="1"/>
        </w:pBdr>
        <w:tabs>
          <w:tab w:val="left" w:pos="1985"/>
        </w:tabs>
        <w:snapToGrid w:val="0"/>
        <w:spacing w:line="288" w:lineRule="auto"/>
        <w:ind w:left="1872" w:hanging="1872"/>
        <w:rPr>
          <w:b/>
        </w:rPr>
      </w:pPr>
      <w:r>
        <w:rPr>
          <w:rFonts w:ascii="Arial" w:hAnsi="Arial" w:cs="Arial"/>
          <w:b/>
        </w:rPr>
        <w:t>Document for:</w:t>
      </w:r>
      <w:r>
        <w:rPr>
          <w:rFonts w:ascii="Arial" w:hAnsi="Arial" w:cs="Arial"/>
          <w:b/>
        </w:rPr>
        <w:tab/>
      </w:r>
      <w:bookmarkStart w:id="1" w:name="DocumentFor"/>
      <w:bookmarkEnd w:id="1"/>
      <w:r>
        <w:rPr>
          <w:rFonts w:ascii="Arial" w:hAnsi="Arial" w:cs="Arial"/>
          <w:b/>
        </w:rPr>
        <w:t>Discussion and Decision</w:t>
      </w:r>
    </w:p>
    <w:p>
      <w:pPr>
        <w:snapToGrid w:val="0"/>
        <w:rPr>
          <w:b/>
          <w:sz w:val="16"/>
          <w:szCs w:val="16"/>
        </w:rPr>
      </w:pPr>
    </w:p>
    <w:p>
      <w:pPr>
        <w:pStyle w:val="3"/>
        <w:numPr>
          <w:ilvl w:val="0"/>
          <w:numId w:val="8"/>
        </w:numPr>
        <w:ind w:left="426" w:hanging="426"/>
      </w:pPr>
      <w:r>
        <w:t>Introduction</w:t>
      </w:r>
    </w:p>
    <w:p>
      <w:pPr>
        <w:snapToGrid w:val="0"/>
        <w:spacing w:after="60" w:line="288" w:lineRule="auto"/>
        <w:rPr>
          <w:rFonts w:hint="default" w:eastAsia="等线"/>
          <w:sz w:val="20"/>
          <w:szCs w:val="20"/>
          <w:lang w:val="en-US" w:eastAsia="zh-CN"/>
        </w:rPr>
      </w:pPr>
      <w:r>
        <w:rPr>
          <w:rFonts w:hint="eastAsia"/>
          <w:sz w:val="20"/>
          <w:szCs w:val="20"/>
          <w:lang w:val="en-US" w:eastAsia="zh-CN"/>
        </w:rPr>
        <w:t>To endorse the following TP according to Moderator summary #3 for Maintenance on Rel-17 SRS [1].</w:t>
      </w:r>
    </w:p>
    <w:p>
      <w:pPr>
        <w:rPr>
          <w:sz w:val="20"/>
          <w:szCs w:val="20"/>
          <w:highlight w:val="cyan"/>
          <w:lang w:eastAsia="zh-CN"/>
        </w:rPr>
      </w:pPr>
    </w:p>
    <w:p>
      <w:pPr>
        <w:pStyle w:val="3"/>
        <w:numPr>
          <w:ilvl w:val="0"/>
          <w:numId w:val="8"/>
        </w:numPr>
        <w:spacing w:before="120"/>
        <w:ind w:left="425" w:hanging="425"/>
      </w:pPr>
      <w:r>
        <w:t xml:space="preserve">Summary of </w:t>
      </w:r>
      <w:r>
        <w:rPr>
          <w:rFonts w:hint="eastAsia"/>
          <w:lang w:val="en-US" w:eastAsia="zh-CN"/>
        </w:rPr>
        <w:t>endorsed TPs</w:t>
      </w:r>
    </w:p>
    <w:p>
      <w:pPr>
        <w:pStyle w:val="4"/>
        <w:bidi w:val="0"/>
        <w:rPr>
          <w:rFonts w:hint="default"/>
          <w:lang w:val="en-US" w:eastAsia="zh-CN"/>
        </w:rPr>
      </w:pPr>
      <w:r>
        <w:rPr>
          <w:b/>
          <w:bCs/>
          <w:lang w:eastAsia="zh-CN"/>
        </w:rPr>
        <w:t>TP#</w:t>
      </w:r>
      <w:r>
        <w:rPr>
          <w:rFonts w:hint="eastAsia"/>
          <w:b/>
          <w:bCs/>
          <w:lang w:val="en-US" w:eastAsia="zh-CN"/>
        </w:rPr>
        <w:t>2-3&amp;2-4 in TS38.214</w:t>
      </w:r>
    </w:p>
    <w:p>
      <w:pPr>
        <w:keepNext w:val="0"/>
        <w:keepLines w:val="0"/>
        <w:pageBreakBefore w:val="0"/>
        <w:widowControl/>
        <w:kinsoku/>
        <w:wordWrap/>
        <w:overflowPunct/>
        <w:topLinePunct w:val="0"/>
        <w:autoSpaceDE/>
        <w:autoSpaceDN/>
        <w:bidi w:val="0"/>
        <w:adjustRightInd/>
        <w:snapToGrid/>
        <w:spacing w:before="120" w:after="60" w:line="260" w:lineRule="auto"/>
        <w:textAlignment w:val="auto"/>
        <w:rPr>
          <w:b/>
          <w:bCs/>
          <w:sz w:val="20"/>
          <w:szCs w:val="20"/>
          <w:u w:val="single"/>
          <w:lang w:eastAsia="zh-CN"/>
        </w:rPr>
      </w:pPr>
      <w:r>
        <w:rPr>
          <w:b/>
          <w:bCs/>
          <w:sz w:val="20"/>
          <w:szCs w:val="20"/>
          <w:u w:val="single"/>
          <w:lang w:eastAsia="zh-CN"/>
        </w:rPr>
        <w:t>Reason of change:</w:t>
      </w:r>
    </w:p>
    <w:p>
      <w:pPr>
        <w:widowControl w:val="0"/>
        <w:adjustRightInd/>
        <w:spacing w:before="108" w:beforeLines="30" w:after="108" w:afterLines="30" w:line="288" w:lineRule="auto"/>
        <w:rPr>
          <w:rFonts w:hint="eastAsia" w:ascii="Times New Roman" w:hAnsi="Times New Roman" w:cs="Times New Roman"/>
          <w:sz w:val="20"/>
          <w:szCs w:val="20"/>
          <w:lang w:val="en-GB" w:eastAsia="zh-CN"/>
        </w:rPr>
      </w:pPr>
      <w:r>
        <w:rPr>
          <w:rFonts w:hint="eastAsia" w:ascii="Times New Roman" w:hAnsi="Times New Roman" w:cs="Times New Roman"/>
          <w:sz w:val="20"/>
          <w:szCs w:val="20"/>
          <w:lang w:eastAsia="zh-CN"/>
        </w:rPr>
        <w:t xml:space="preserve">There is no agreement in RAN1 </w:t>
      </w:r>
      <w:r>
        <w:rPr>
          <w:rFonts w:hint="eastAsia" w:ascii="Times New Roman" w:hAnsi="Times New Roman" w:cs="Times New Roman"/>
          <w:sz w:val="20"/>
          <w:szCs w:val="20"/>
          <w:lang w:val="en-US" w:eastAsia="zh-CN"/>
        </w:rPr>
        <w:t xml:space="preserve">that </w:t>
      </w:r>
      <w:r>
        <w:rPr>
          <w:rFonts w:hint="eastAsia" w:ascii="Times New Roman" w:hAnsi="Times New Roman" w:cs="Times New Roman"/>
          <w:sz w:val="20"/>
          <w:szCs w:val="20"/>
          <w:lang w:eastAsia="zh-CN"/>
        </w:rPr>
        <w:t>the</w:t>
      </w:r>
      <w:r>
        <w:rPr>
          <w:rFonts w:hint="eastAsia" w:ascii="Times New Roman" w:hAnsi="Times New Roman" w:cs="Times New Roman"/>
          <w:sz w:val="20"/>
          <w:szCs w:val="20"/>
          <w:lang w:val="en-US" w:eastAsia="zh-CN"/>
        </w:rPr>
        <w:t xml:space="preserve"> </w:t>
      </w:r>
      <w:r>
        <w:rPr>
          <w:rFonts w:hint="eastAsia" w:ascii="Times New Roman" w:hAnsi="Times New Roman" w:cs="Times New Roman"/>
          <w:sz w:val="20"/>
          <w:szCs w:val="20"/>
          <w:lang w:eastAsia="zh-CN"/>
        </w:rPr>
        <w:t xml:space="preserve">maximum number of configured SRS resource sets with antenna switching usage </w:t>
      </w:r>
      <w:r>
        <w:rPr>
          <w:rFonts w:hint="eastAsia" w:ascii="Times New Roman" w:hAnsi="Times New Roman" w:cs="Times New Roman"/>
          <w:sz w:val="20"/>
          <w:szCs w:val="20"/>
          <w:lang w:val="en-US" w:eastAsia="zh-CN"/>
        </w:rPr>
        <w:t xml:space="preserve">can be up </w:t>
      </w:r>
      <w:r>
        <w:rPr>
          <w:rFonts w:hint="eastAsia" w:ascii="Times New Roman" w:hAnsi="Times New Roman" w:cs="Times New Roman"/>
          <w:sz w:val="20"/>
          <w:szCs w:val="20"/>
          <w:lang w:eastAsia="zh-CN"/>
        </w:rPr>
        <w:t>to 4 for 1T2R</w:t>
      </w:r>
      <w:r>
        <w:rPr>
          <w:rFonts w:hint="eastAsia" w:ascii="Times New Roman" w:hAnsi="Times New Roman" w:cs="Times New Roman"/>
          <w:sz w:val="20"/>
          <w:szCs w:val="20"/>
          <w:lang w:val="en-US" w:eastAsia="zh-CN"/>
        </w:rPr>
        <w:t>/</w:t>
      </w:r>
      <w:r>
        <w:rPr>
          <w:rFonts w:hint="eastAsia" w:ascii="Times New Roman" w:hAnsi="Times New Roman" w:cs="Times New Roman"/>
          <w:sz w:val="20"/>
          <w:szCs w:val="20"/>
          <w:lang w:eastAsia="zh-CN"/>
        </w:rPr>
        <w:t>2T4R.</w:t>
      </w:r>
    </w:p>
    <w:p>
      <w:pPr>
        <w:keepNext w:val="0"/>
        <w:keepLines w:val="0"/>
        <w:pageBreakBefore w:val="0"/>
        <w:widowControl/>
        <w:kinsoku/>
        <w:wordWrap/>
        <w:overflowPunct/>
        <w:topLinePunct w:val="0"/>
        <w:autoSpaceDE/>
        <w:autoSpaceDN/>
        <w:bidi w:val="0"/>
        <w:adjustRightInd/>
        <w:snapToGrid/>
        <w:spacing w:before="120" w:after="60" w:line="260" w:lineRule="auto"/>
        <w:textAlignment w:val="auto"/>
        <w:rPr>
          <w:b/>
          <w:bCs/>
          <w:sz w:val="20"/>
          <w:szCs w:val="20"/>
          <w:u w:val="single"/>
          <w:lang w:val="en-GB" w:eastAsia="zh-CN"/>
        </w:rPr>
      </w:pPr>
      <w:r>
        <w:rPr>
          <w:rFonts w:hint="eastAsia"/>
          <w:b/>
          <w:bCs/>
          <w:sz w:val="20"/>
          <w:szCs w:val="20"/>
          <w:u w:val="single"/>
          <w:lang w:val="en-US" w:eastAsia="zh-CN"/>
        </w:rPr>
        <w:t>Summary of change</w:t>
      </w:r>
      <w:r>
        <w:rPr>
          <w:b/>
          <w:bCs/>
          <w:sz w:val="20"/>
          <w:szCs w:val="20"/>
          <w:u w:val="single"/>
          <w:lang w:val="en-GB" w:eastAsia="zh-CN"/>
        </w:rPr>
        <w:t>:</w:t>
      </w:r>
    </w:p>
    <w:p>
      <w:pPr>
        <w:widowControl w:val="0"/>
        <w:adjustRightInd/>
        <w:spacing w:before="108" w:beforeLines="30" w:after="108" w:afterLines="30" w:line="288" w:lineRule="auto"/>
        <w:rPr>
          <w:rFonts w:ascii="Times New Roman" w:hAnsi="Times New Roman" w:cs="Times New Roman"/>
          <w:sz w:val="20"/>
          <w:szCs w:val="20"/>
          <w:lang w:eastAsia="zh-CN"/>
        </w:rPr>
      </w:pPr>
      <w:r>
        <w:rPr>
          <w:rFonts w:eastAsia="微软雅黑"/>
          <w:sz w:val="20"/>
          <w:szCs w:val="20"/>
        </w:rPr>
        <w:t xml:space="preserve">Clarify </w:t>
      </w:r>
      <w:r>
        <w:rPr>
          <w:rFonts w:hint="eastAsia" w:eastAsia="微软雅黑"/>
          <w:sz w:val="20"/>
          <w:szCs w:val="20"/>
          <w:lang w:val="en-US" w:eastAsia="zh-CN"/>
        </w:rPr>
        <w:t xml:space="preserve">in TS38.214 </w:t>
      </w:r>
      <w:r>
        <w:rPr>
          <w:rFonts w:eastAsia="微软雅黑"/>
          <w:sz w:val="20"/>
          <w:szCs w:val="20"/>
        </w:rPr>
        <w:t>that</w:t>
      </w:r>
      <w:r>
        <w:rPr>
          <w:rFonts w:hint="eastAsia" w:eastAsia="微软雅黑"/>
          <w:sz w:val="20"/>
          <w:szCs w:val="20"/>
          <w:lang w:val="en-US" w:eastAsia="zh-CN"/>
        </w:rPr>
        <w:t xml:space="preserve"> f</w:t>
      </w:r>
      <w:r>
        <w:rPr>
          <w:rFonts w:hint="eastAsia" w:ascii="Times New Roman" w:hAnsi="Times New Roman" w:cs="Times New Roman"/>
          <w:sz w:val="20"/>
          <w:szCs w:val="20"/>
          <w:lang w:eastAsia="zh-CN"/>
        </w:rPr>
        <w:t xml:space="preserve">or 1T2R/2T4R antenna switching, up to 3 SRS resource sets can be configured with different resource type if the UE supports either </w:t>
      </w:r>
      <w:r>
        <w:rPr>
          <w:rFonts w:hint="eastAsia" w:ascii="Times New Roman" w:hAnsi="Times New Roman" w:cs="Times New Roman"/>
          <w:sz w:val="20"/>
          <w:szCs w:val="20"/>
          <w:lang w:eastAsia="ja-JP"/>
        </w:rPr>
        <w:t>[maximum 2 semi-persistent and maximum 1 periodic SRS resource sets] or [extension of aperiodic antenna switching SRS configuration]</w:t>
      </w:r>
      <w:r>
        <w:rPr>
          <w:rFonts w:hint="eastAsia" w:ascii="Times New Roman" w:hAnsi="Times New Roman" w:cs="Times New Roman"/>
          <w:sz w:val="20"/>
          <w:szCs w:val="20"/>
          <w:lang w:eastAsia="zh-CN"/>
        </w:rPr>
        <w:t>.</w:t>
      </w:r>
    </w:p>
    <w:p>
      <w:pPr>
        <w:keepNext w:val="0"/>
        <w:keepLines w:val="0"/>
        <w:pageBreakBefore w:val="0"/>
        <w:widowControl/>
        <w:kinsoku/>
        <w:wordWrap/>
        <w:overflowPunct/>
        <w:topLinePunct w:val="0"/>
        <w:autoSpaceDE/>
        <w:autoSpaceDN/>
        <w:bidi w:val="0"/>
        <w:adjustRightInd/>
        <w:snapToGrid/>
        <w:spacing w:before="120" w:after="60" w:line="260" w:lineRule="auto"/>
        <w:textAlignment w:val="auto"/>
        <w:rPr>
          <w:rFonts w:hint="eastAsia"/>
          <w:b/>
          <w:bCs/>
          <w:sz w:val="20"/>
          <w:szCs w:val="20"/>
          <w:u w:val="single"/>
          <w:lang w:val="en-GB" w:eastAsia="zh-CN"/>
        </w:rPr>
      </w:pPr>
      <w:r>
        <w:rPr>
          <w:rFonts w:hint="eastAsia"/>
          <w:b/>
          <w:bCs/>
          <w:sz w:val="20"/>
          <w:szCs w:val="20"/>
          <w:u w:val="single"/>
          <w:lang w:val="en-GB" w:eastAsia="zh-CN"/>
        </w:rPr>
        <w:t xml:space="preserve">Consequence </w:t>
      </w:r>
      <w:r>
        <w:rPr>
          <w:rFonts w:hint="eastAsia"/>
          <w:b/>
          <w:bCs/>
          <w:sz w:val="20"/>
          <w:szCs w:val="20"/>
          <w:u w:val="single"/>
          <w:lang w:val="en-US" w:eastAsia="zh-CN"/>
        </w:rPr>
        <w:t>if not approved</w:t>
      </w:r>
      <w:r>
        <w:rPr>
          <w:rFonts w:hint="eastAsia"/>
          <w:b/>
          <w:bCs/>
          <w:sz w:val="20"/>
          <w:szCs w:val="20"/>
          <w:u w:val="single"/>
          <w:lang w:val="en-GB" w:eastAsia="zh-CN"/>
        </w:rPr>
        <w:t>:</w:t>
      </w:r>
    </w:p>
    <w:p>
      <w:pPr>
        <w:widowControl w:val="0"/>
        <w:adjustRightInd/>
        <w:spacing w:before="108" w:beforeLines="30" w:after="108" w:afterLines="30" w:line="288" w:lineRule="auto"/>
        <w:rPr>
          <w:rFonts w:hint="eastAsia" w:ascii="Times New Roman" w:hAnsi="Times New Roman" w:cs="Times New Roman"/>
          <w:sz w:val="20"/>
          <w:szCs w:val="20"/>
          <w:lang w:eastAsia="ja-JP"/>
        </w:rPr>
      </w:pPr>
      <w:r>
        <w:rPr>
          <w:rFonts w:hint="eastAsia" w:ascii="Times New Roman" w:hAnsi="Times New Roman" w:cs="Times New Roman"/>
          <w:sz w:val="20"/>
          <w:szCs w:val="20"/>
          <w:lang w:eastAsia="ja-JP"/>
        </w:rPr>
        <w:t>Force to support maximum of 4 SRS resource sets which is not approved in any RAN1 agreement.</w:t>
      </w:r>
    </w:p>
    <w:p>
      <w:pPr>
        <w:rPr>
          <w:sz w:val="20"/>
          <w:szCs w:val="20"/>
          <w:lang w:eastAsia="zh-CN"/>
        </w:rPr>
      </w:pPr>
    </w:p>
    <w:p>
      <w:pPr>
        <w:snapToGrid w:val="0"/>
        <w:jc w:val="left"/>
        <w:rPr>
          <w:b/>
          <w:bCs/>
          <w:sz w:val="20"/>
          <w:szCs w:val="20"/>
          <w:lang w:eastAsia="zh-CN"/>
        </w:rPr>
      </w:pPr>
      <w:r>
        <w:rPr>
          <w:b/>
          <w:bCs/>
          <w:sz w:val="20"/>
          <w:szCs w:val="20"/>
          <w:lang w:eastAsia="zh-CN"/>
        </w:rPr>
        <w:t>TP#2-</w:t>
      </w:r>
      <w:r>
        <w:rPr>
          <w:rFonts w:hint="eastAsia"/>
          <w:b/>
          <w:bCs/>
          <w:sz w:val="20"/>
          <w:szCs w:val="20"/>
          <w:lang w:eastAsia="zh-CN"/>
        </w:rPr>
        <w:t>3&amp;2-4</w:t>
      </w:r>
      <w:r>
        <w:rPr>
          <w:b/>
          <w:bCs/>
          <w:sz w:val="20"/>
          <w:szCs w:val="20"/>
          <w:lang w:eastAsia="zh-CN"/>
        </w:rPr>
        <w:t>: antenna switching for 1T2R/2T4R</w:t>
      </w:r>
    </w:p>
    <w:tbl>
      <w:tblPr>
        <w:tblStyle w:val="18"/>
        <w:tblW w:w="10033" w:type="dxa"/>
        <w:tblInd w:w="0" w:type="dxa"/>
        <w:tblLayout w:type="fixed"/>
        <w:tblCellMar>
          <w:top w:w="0" w:type="dxa"/>
          <w:left w:w="10" w:type="dxa"/>
          <w:bottom w:w="0" w:type="dxa"/>
          <w:right w:w="10" w:type="dxa"/>
        </w:tblCellMar>
      </w:tblPr>
      <w:tblGrid>
        <w:gridCol w:w="10033"/>
      </w:tblGrid>
      <w:tr>
        <w:tblPrEx>
          <w:tblCellMar>
            <w:top w:w="0" w:type="dxa"/>
            <w:left w:w="10" w:type="dxa"/>
            <w:bottom w:w="0" w:type="dxa"/>
            <w:right w:w="10" w:type="dxa"/>
          </w:tblCellMar>
        </w:tblPrEx>
        <w:trPr>
          <w:trHeight w:val="90" w:hRule="atLeast"/>
        </w:trPr>
        <w:tc>
          <w:tcPr>
            <w:tcW w:w="1003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104"/>
              <w:keepNext w:val="0"/>
              <w:keepLines w:val="0"/>
              <w:pageBreakBefore w:val="0"/>
              <w:widowControl/>
              <w:kinsoku/>
              <w:wordWrap/>
              <w:overflowPunct/>
              <w:topLinePunct w:val="0"/>
              <w:autoSpaceDE/>
              <w:autoSpaceDN/>
              <w:bidi w:val="0"/>
              <w:adjustRightInd/>
              <w:snapToGrid/>
              <w:spacing w:before="60" w:line="260" w:lineRule="auto"/>
              <w:jc w:val="center"/>
              <w:textAlignment w:val="auto"/>
              <w:rPr>
                <w:rFonts w:eastAsiaTheme="minorEastAsia"/>
                <w:color w:val="FF0000"/>
                <w:sz w:val="20"/>
                <w:szCs w:val="20"/>
                <w:lang w:val="en-US" w:eastAsia="zh-CN"/>
              </w:rPr>
            </w:pPr>
            <w:r>
              <w:rPr>
                <w:rFonts w:eastAsiaTheme="minorEastAsia"/>
                <w:color w:val="FF0000"/>
                <w:sz w:val="20"/>
                <w:szCs w:val="20"/>
                <w:lang w:val="en-US" w:eastAsia="zh-CN"/>
              </w:rPr>
              <w:t>&lt;Start of TP for TS38.214&gt;</w:t>
            </w:r>
          </w:p>
          <w:p>
            <w:pPr>
              <w:pStyle w:val="75"/>
              <w:ind w:left="0" w:firstLine="0"/>
              <w:rPr>
                <w:b/>
                <w:sz w:val="20"/>
                <w:szCs w:val="20"/>
                <w:lang w:eastAsia="zh-CN"/>
              </w:rPr>
            </w:pPr>
            <w:r>
              <w:rPr>
                <w:b/>
                <w:sz w:val="20"/>
                <w:szCs w:val="20"/>
                <w:lang w:eastAsia="zh-CN"/>
              </w:rPr>
              <w:t>6.2.1</w:t>
            </w:r>
            <w:r>
              <w:rPr>
                <w:rFonts w:hint="eastAsia"/>
                <w:b/>
                <w:sz w:val="20"/>
                <w:szCs w:val="20"/>
                <w:lang w:eastAsia="zh-CN"/>
              </w:rPr>
              <w:t>.</w:t>
            </w:r>
            <w:r>
              <w:rPr>
                <w:b/>
                <w:sz w:val="20"/>
                <w:szCs w:val="20"/>
                <w:lang w:eastAsia="zh-CN"/>
              </w:rPr>
              <w:t>2</w:t>
            </w:r>
            <w:r>
              <w:rPr>
                <w:b/>
                <w:sz w:val="20"/>
                <w:szCs w:val="20"/>
                <w:lang w:eastAsia="zh-CN"/>
              </w:rPr>
              <w:tab/>
            </w:r>
            <w:r>
              <w:rPr>
                <w:b/>
                <w:sz w:val="20"/>
                <w:szCs w:val="20"/>
                <w:lang w:eastAsia="zh-CN"/>
              </w:rPr>
              <w:t xml:space="preserve">UE </w:t>
            </w:r>
            <w:r>
              <w:rPr>
                <w:b/>
                <w:sz w:val="20"/>
                <w:szCs w:val="20"/>
                <w:lang w:val="en-GB" w:eastAsia="zh-CN"/>
              </w:rPr>
              <w:t>sounding procedure for DL CSI acquisition</w:t>
            </w:r>
          </w:p>
          <w:p>
            <w:pPr>
              <w:pStyle w:val="104"/>
              <w:rPr>
                <w:rFonts w:eastAsiaTheme="minorEastAsia"/>
                <w:sz w:val="20"/>
                <w:szCs w:val="20"/>
                <w:lang w:val="en-US" w:eastAsia="zh-CN"/>
              </w:rPr>
            </w:pPr>
            <w:r>
              <w:rPr>
                <w:rFonts w:eastAsiaTheme="minorEastAsia"/>
                <w:sz w:val="20"/>
                <w:szCs w:val="20"/>
                <w:lang w:val="en-US" w:eastAsia="zh-CN"/>
              </w:rPr>
              <w:t>&lt;Unrelated part omitted&gt;</w:t>
            </w:r>
          </w:p>
          <w:p>
            <w:pPr>
              <w:spacing w:after="180"/>
              <w:ind w:left="568" w:hanging="284"/>
              <w:rPr>
                <w:rFonts w:hint="default" w:ascii="Times New Roman" w:hAnsi="Times New Roman" w:eastAsia="宋体" w:cs="Times New Roman"/>
                <w:sz w:val="20"/>
                <w:szCs w:val="20"/>
              </w:rPr>
            </w:pPr>
            <w:r>
              <w:rPr>
                <w:rFonts w:eastAsia="宋体"/>
                <w:sz w:val="18"/>
                <w:szCs w:val="18"/>
              </w:rPr>
              <w:t>-</w:t>
            </w:r>
            <w:r>
              <w:rPr>
                <w:rFonts w:eastAsia="宋体"/>
                <w:sz w:val="18"/>
                <w:szCs w:val="18"/>
              </w:rPr>
              <w:tab/>
            </w:r>
            <w:r>
              <w:rPr>
                <w:rFonts w:hint="default" w:ascii="Times New Roman" w:hAnsi="Times New Roman" w:eastAsia="宋体" w:cs="Times New Roman"/>
                <w:sz w:val="20"/>
                <w:szCs w:val="20"/>
              </w:rPr>
              <w:t>For 1T2R, if the UE is indicating a capability for [maximum 2 semi-persistent and maximum 1 periodic SRS resource sets] and/or a capability for [extension of aperiodic antenna switching SRS configuration]:</w:t>
            </w:r>
          </w:p>
          <w:p>
            <w:pPr>
              <w:spacing w:after="180"/>
              <w:ind w:left="851" w:hanging="284"/>
              <w:rPr>
                <w:rFonts w:hint="default" w:ascii="Times New Roman" w:hAnsi="Times New Roman" w:eastAsia="等线" w:cs="Times New Roman"/>
                <w:color w:val="FF0000"/>
                <w:sz w:val="20"/>
                <w:szCs w:val="20"/>
                <w:lang w:val="en-US" w:eastAsia="zh-CN"/>
              </w:rPr>
            </w:pPr>
            <w:r>
              <w:rPr>
                <w:rFonts w:hint="default" w:ascii="Times New Roman" w:hAnsi="Times New Roman" w:eastAsia="宋体" w:cs="Times New Roman"/>
                <w:color w:val="FF0000"/>
                <w:sz w:val="20"/>
                <w:szCs w:val="20"/>
              </w:rPr>
              <w:t>-</w:t>
            </w:r>
            <w:r>
              <w:rPr>
                <w:rFonts w:hint="default" w:ascii="Times New Roman" w:hAnsi="Times New Roman" w:eastAsia="宋体" w:cs="Times New Roman"/>
                <w:color w:val="FF0000"/>
                <w:sz w:val="20"/>
                <w:szCs w:val="20"/>
              </w:rPr>
              <w:tab/>
            </w:r>
            <w:r>
              <w:rPr>
                <w:rFonts w:hint="default" w:ascii="Times New Roman" w:hAnsi="Times New Roman" w:eastAsia="宋体" w:cs="Times New Roman"/>
                <w:color w:val="FF0000"/>
                <w:sz w:val="20"/>
                <w:szCs w:val="20"/>
                <w:lang w:eastAsia="zh-CN"/>
              </w:rPr>
              <w:t xml:space="preserve">When the UE </w:t>
            </w:r>
            <w:r>
              <w:rPr>
                <w:rFonts w:hint="default" w:ascii="Times New Roman" w:hAnsi="Times New Roman" w:eastAsia="宋体" w:cs="Times New Roman"/>
                <w:color w:val="FF0000"/>
                <w:sz w:val="20"/>
                <w:szCs w:val="20"/>
              </w:rPr>
              <w:t>is indicating a capability for</w:t>
            </w:r>
            <w:r>
              <w:rPr>
                <w:rFonts w:hint="default" w:ascii="Times New Roman" w:hAnsi="Times New Roman" w:eastAsia="宋体" w:cs="Times New Roman"/>
                <w:color w:val="FF0000"/>
                <w:sz w:val="20"/>
                <w:szCs w:val="20"/>
                <w:lang w:eastAsia="zh-CN"/>
              </w:rPr>
              <w:t xml:space="preserve"> </w:t>
            </w:r>
            <w:r>
              <w:rPr>
                <w:rFonts w:hint="default" w:ascii="Times New Roman" w:hAnsi="Times New Roman" w:eastAsia="宋体" w:cs="Times New Roman"/>
                <w:color w:val="FF0000"/>
                <w:sz w:val="20"/>
                <w:szCs w:val="20"/>
                <w:lang w:eastAsia="ja-JP"/>
              </w:rPr>
              <w:t xml:space="preserve">[maximum 2 semi-persistent and maximum 1 periodic SRS resource sets] only, then </w:t>
            </w:r>
            <w:r>
              <w:rPr>
                <w:rFonts w:hint="default" w:ascii="Times New Roman" w:hAnsi="Times New Roman" w:eastAsia="宋体" w:cs="Times New Roman"/>
                <w:color w:val="FF0000"/>
                <w:sz w:val="20"/>
                <w:szCs w:val="20"/>
                <w:lang w:val="en-US" w:eastAsia="zh-CN"/>
              </w:rPr>
              <w:t xml:space="preserve">up to </w:t>
            </w:r>
            <w:r>
              <w:rPr>
                <w:rFonts w:hint="default" w:ascii="Times New Roman" w:hAnsi="Times New Roman" w:eastAsia="宋体" w:cs="Times New Roman"/>
                <w:color w:val="FF0000"/>
                <w:sz w:val="20"/>
                <w:szCs w:val="20"/>
                <w:lang w:eastAsia="ja-JP"/>
              </w:rPr>
              <w:t xml:space="preserve">two SRS resource sets with </w:t>
            </w:r>
            <w:r>
              <w:rPr>
                <w:rFonts w:hint="default" w:ascii="Times New Roman" w:hAnsi="Times New Roman" w:eastAsia="宋体" w:cs="Times New Roman"/>
                <w:i/>
                <w:iCs/>
                <w:color w:val="FF0000"/>
                <w:sz w:val="20"/>
                <w:szCs w:val="20"/>
                <w:lang w:eastAsia="ja-JP"/>
              </w:rPr>
              <w:t xml:space="preserve">resourceType </w:t>
            </w:r>
            <w:r>
              <w:rPr>
                <w:rFonts w:hint="default" w:ascii="Times New Roman" w:hAnsi="Times New Roman" w:eastAsia="宋体" w:cs="Times New Roman"/>
                <w:color w:val="FF0000"/>
                <w:sz w:val="20"/>
                <w:szCs w:val="20"/>
                <w:lang w:eastAsia="ja-JP"/>
              </w:rPr>
              <w:t xml:space="preserve">in </w:t>
            </w:r>
            <w:r>
              <w:rPr>
                <w:rFonts w:hint="default" w:ascii="Times New Roman" w:hAnsi="Times New Roman" w:eastAsia="宋体" w:cs="Times New Roman"/>
                <w:i/>
                <w:iCs/>
                <w:color w:val="FF0000"/>
                <w:sz w:val="20"/>
                <w:szCs w:val="20"/>
                <w:lang w:eastAsia="ja-JP"/>
              </w:rPr>
              <w:t>SRS-ResourceSet</w:t>
            </w:r>
            <w:r>
              <w:rPr>
                <w:rFonts w:hint="default" w:ascii="Times New Roman" w:hAnsi="Times New Roman" w:eastAsia="宋体" w:cs="Times New Roman"/>
                <w:color w:val="FF0000"/>
                <w:sz w:val="20"/>
                <w:szCs w:val="20"/>
                <w:lang w:eastAsia="ja-JP"/>
              </w:rPr>
              <w:t xml:space="preserve"> set to ‘semi-persistent’ and </w:t>
            </w:r>
            <w:r>
              <w:rPr>
                <w:rFonts w:hint="default" w:ascii="Times New Roman" w:hAnsi="Times New Roman" w:eastAsia="宋体" w:cs="Times New Roman"/>
                <w:color w:val="FF0000"/>
                <w:sz w:val="20"/>
                <w:szCs w:val="20"/>
                <w:lang w:val="en-US" w:eastAsia="zh-CN"/>
              </w:rPr>
              <w:t xml:space="preserve">up to </w:t>
            </w:r>
            <w:r>
              <w:rPr>
                <w:rFonts w:hint="default" w:ascii="Times New Roman" w:hAnsi="Times New Roman" w:eastAsia="宋体" w:cs="Times New Roman"/>
                <w:color w:val="FF0000"/>
                <w:sz w:val="20"/>
                <w:szCs w:val="20"/>
                <w:lang w:eastAsia="ja-JP"/>
              </w:rPr>
              <w:t xml:space="preserve">one SRS resource set with </w:t>
            </w:r>
            <w:r>
              <w:rPr>
                <w:rFonts w:hint="default" w:ascii="Times New Roman" w:hAnsi="Times New Roman" w:eastAsia="宋体" w:cs="Times New Roman"/>
                <w:i/>
                <w:iCs/>
                <w:color w:val="FF0000"/>
                <w:sz w:val="20"/>
                <w:szCs w:val="20"/>
                <w:lang w:eastAsia="ja-JP"/>
              </w:rPr>
              <w:t>resour</w:t>
            </w:r>
            <w:r>
              <w:rPr>
                <w:rFonts w:hint="default" w:ascii="Times New Roman" w:hAnsi="Times New Roman" w:eastAsia="宋体" w:cs="Times New Roman"/>
                <w:i/>
                <w:iCs/>
                <w:color w:val="FF0000"/>
                <w:sz w:val="20"/>
                <w:szCs w:val="20"/>
                <w:highlight w:val="none"/>
                <w:lang w:eastAsia="ja-JP"/>
              </w:rPr>
              <w:t xml:space="preserve">ceType </w:t>
            </w:r>
            <w:r>
              <w:rPr>
                <w:rFonts w:hint="default" w:ascii="Times New Roman" w:hAnsi="Times New Roman" w:eastAsia="宋体" w:cs="Times New Roman"/>
                <w:color w:val="FF0000"/>
                <w:sz w:val="20"/>
                <w:szCs w:val="20"/>
                <w:highlight w:val="none"/>
                <w:lang w:eastAsia="ja-JP"/>
              </w:rPr>
              <w:t xml:space="preserve">in </w:t>
            </w:r>
            <w:r>
              <w:rPr>
                <w:rFonts w:hint="default" w:ascii="Times New Roman" w:hAnsi="Times New Roman" w:eastAsia="宋体" w:cs="Times New Roman"/>
                <w:i/>
                <w:iCs/>
                <w:color w:val="FF0000"/>
                <w:sz w:val="20"/>
                <w:szCs w:val="20"/>
                <w:highlight w:val="none"/>
                <w:lang w:eastAsia="ja-JP"/>
              </w:rPr>
              <w:t>SRS-ResourceSet</w:t>
            </w:r>
            <w:r>
              <w:rPr>
                <w:rFonts w:hint="default" w:ascii="Times New Roman" w:hAnsi="Times New Roman" w:eastAsia="宋体" w:cs="Times New Roman"/>
                <w:color w:val="FF0000"/>
                <w:sz w:val="20"/>
                <w:szCs w:val="20"/>
                <w:highlight w:val="none"/>
                <w:lang w:eastAsia="ja-JP"/>
              </w:rPr>
              <w:t xml:space="preserve"> set to ‘periodic’ can be configured, or up to two SRS resource sets configured with a different value for the higher layer parameter </w:t>
            </w:r>
            <w:r>
              <w:rPr>
                <w:rFonts w:hint="default" w:ascii="Times New Roman" w:hAnsi="Times New Roman" w:eastAsia="宋体" w:cs="Times New Roman"/>
                <w:i/>
                <w:iCs/>
                <w:color w:val="FF0000"/>
                <w:sz w:val="20"/>
                <w:szCs w:val="20"/>
                <w:highlight w:val="none"/>
                <w:lang w:eastAsia="ja-JP"/>
              </w:rPr>
              <w:t>resourceType</w:t>
            </w:r>
            <w:r>
              <w:rPr>
                <w:rFonts w:hint="default" w:ascii="Times New Roman" w:hAnsi="Times New Roman" w:eastAsia="宋体" w:cs="Times New Roman"/>
                <w:color w:val="FF0000"/>
                <w:sz w:val="20"/>
                <w:szCs w:val="20"/>
                <w:highlight w:val="none"/>
                <w:lang w:eastAsia="ja-JP"/>
              </w:rPr>
              <w:t xml:space="preserve"> in </w:t>
            </w:r>
            <w:r>
              <w:rPr>
                <w:rFonts w:hint="default" w:ascii="Times New Roman" w:hAnsi="Times New Roman" w:eastAsia="宋体" w:cs="Times New Roman"/>
                <w:i/>
                <w:iCs/>
                <w:color w:val="FF0000"/>
                <w:sz w:val="20"/>
                <w:szCs w:val="20"/>
                <w:highlight w:val="none"/>
                <w:lang w:eastAsia="ja-JP"/>
              </w:rPr>
              <w:t>SRS-ResourceSet</w:t>
            </w:r>
            <w:r>
              <w:rPr>
                <w:rFonts w:hint="default" w:ascii="Times New Roman" w:hAnsi="Times New Roman" w:eastAsia="宋体" w:cs="Times New Roman"/>
                <w:color w:val="FF0000"/>
                <w:sz w:val="20"/>
                <w:szCs w:val="20"/>
                <w:highlight w:val="none"/>
                <w:lang w:eastAsia="ja-JP"/>
              </w:rPr>
              <w:t xml:space="preserve"> can be configured</w:t>
            </w:r>
            <w:r>
              <w:rPr>
                <w:rFonts w:hint="default" w:ascii="Times New Roman" w:hAnsi="Times New Roman" w:eastAsia="宋体" w:cs="Times New Roman"/>
                <w:color w:val="FF0000"/>
                <w:sz w:val="20"/>
                <w:szCs w:val="20"/>
                <w:highlight w:val="none"/>
                <w:lang w:val="en-US" w:eastAsia="zh-CN"/>
              </w:rPr>
              <w:t xml:space="preserve">, </w:t>
            </w:r>
            <w:r>
              <w:rPr>
                <w:rFonts w:hint="default" w:ascii="Times New Roman" w:hAnsi="Times New Roman" w:cs="Times New Roman"/>
                <w:color w:val="FF0000"/>
                <w:sz w:val="20"/>
                <w:szCs w:val="20"/>
                <w:highlight w:val="none"/>
              </w:rPr>
              <w:t>where the two SRS resource sets configured with 'semi-persistent' are not activated at the same time</w:t>
            </w:r>
            <w:r>
              <w:rPr>
                <w:rFonts w:hint="default" w:ascii="Times New Roman" w:hAnsi="Times New Roman" w:eastAsia="宋体" w:cs="Times New Roman"/>
                <w:color w:val="FF0000"/>
                <w:sz w:val="20"/>
                <w:szCs w:val="20"/>
                <w:highlight w:val="none"/>
                <w:lang w:val="en-US" w:eastAsia="zh-CN"/>
              </w:rPr>
              <w:t xml:space="preserve">, </w:t>
            </w:r>
            <w:r>
              <w:rPr>
                <w:rFonts w:hint="default" w:ascii="Times New Roman" w:hAnsi="Times New Roman" w:cs="Times New Roman"/>
                <w:color w:val="FF0000"/>
                <w:sz w:val="20"/>
                <w:szCs w:val="20"/>
                <w:highlight w:val="none"/>
                <w:lang w:val="en-US" w:eastAsia="zh-CN"/>
              </w:rPr>
              <w:t>e</w:t>
            </w:r>
            <w:r>
              <w:rPr>
                <w:rFonts w:hint="default" w:ascii="Times New Roman" w:hAnsi="Times New Roman" w:eastAsia="等线" w:cs="Times New Roman"/>
                <w:color w:val="FF0000"/>
                <w:sz w:val="20"/>
                <w:szCs w:val="20"/>
                <w:highlight w:val="none"/>
                <w:lang w:val="en-US" w:eastAsia="zh-CN"/>
              </w:rPr>
              <w:t>ach</w:t>
            </w:r>
            <w:r>
              <w:rPr>
                <w:rFonts w:hint="default" w:ascii="Times New Roman" w:hAnsi="Times New Roman" w:cs="Times New Roman"/>
                <w:color w:val="FF0000"/>
                <w:sz w:val="20"/>
                <w:szCs w:val="20"/>
                <w:highlight w:val="none"/>
              </w:rPr>
              <w:t xml:space="preserve">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Pr>
                <w:rFonts w:hint="default" w:ascii="Times New Roman" w:hAnsi="Times New Roman" w:cs="Times New Roman"/>
                <w:color w:val="FF0000"/>
                <w:sz w:val="20"/>
                <w:szCs w:val="20"/>
                <w:highlight w:val="none"/>
                <w:lang w:val="en-US" w:eastAsia="zh-CN"/>
              </w:rPr>
              <w:t>.</w:t>
            </w:r>
          </w:p>
          <w:p>
            <w:pPr>
              <w:spacing w:after="180"/>
              <w:ind w:left="851" w:hanging="284"/>
              <w:rPr>
                <w:rFonts w:hint="default" w:ascii="Times New Roman" w:hAnsi="Times New Roman" w:eastAsia="等线" w:cs="Times New Roman"/>
                <w:color w:val="FF0000"/>
                <w:sz w:val="20"/>
                <w:szCs w:val="20"/>
                <w:highlight w:val="none"/>
                <w:lang w:val="en-US" w:eastAsia="zh-CN"/>
              </w:rPr>
            </w:pPr>
            <w:r>
              <w:rPr>
                <w:rFonts w:hint="default" w:ascii="Times New Roman" w:hAnsi="Times New Roman" w:eastAsia="宋体" w:cs="Times New Roman"/>
                <w:color w:val="FF0000"/>
                <w:sz w:val="20"/>
                <w:szCs w:val="20"/>
              </w:rPr>
              <w:t>-</w:t>
            </w:r>
            <w:r>
              <w:rPr>
                <w:rFonts w:hint="default" w:ascii="Times New Roman" w:hAnsi="Times New Roman" w:eastAsia="宋体" w:cs="Times New Roman"/>
                <w:color w:val="FF0000"/>
                <w:sz w:val="20"/>
                <w:szCs w:val="20"/>
              </w:rPr>
              <w:tab/>
            </w:r>
            <w:r>
              <w:rPr>
                <w:rFonts w:hint="default" w:ascii="Times New Roman" w:hAnsi="Times New Roman" w:eastAsia="宋体" w:cs="Times New Roman"/>
                <w:color w:val="FF0000"/>
                <w:sz w:val="20"/>
                <w:szCs w:val="20"/>
                <w:lang w:eastAsia="ja-JP"/>
              </w:rPr>
              <w:t xml:space="preserve">When the UE </w:t>
            </w:r>
            <w:r>
              <w:rPr>
                <w:rFonts w:hint="default" w:ascii="Times New Roman" w:hAnsi="Times New Roman" w:eastAsia="宋体" w:cs="Times New Roman"/>
                <w:color w:val="FF0000"/>
                <w:sz w:val="20"/>
                <w:szCs w:val="20"/>
              </w:rPr>
              <w:t>is indicating a capability for</w:t>
            </w:r>
            <w:r>
              <w:rPr>
                <w:rFonts w:hint="default" w:ascii="Times New Roman" w:hAnsi="Times New Roman" w:eastAsia="宋体" w:cs="Times New Roman"/>
                <w:color w:val="FF0000"/>
                <w:sz w:val="20"/>
                <w:szCs w:val="20"/>
                <w:lang w:eastAsia="zh-CN"/>
              </w:rPr>
              <w:t xml:space="preserve"> </w:t>
            </w:r>
            <w:r>
              <w:rPr>
                <w:rFonts w:hint="default" w:ascii="Times New Roman" w:hAnsi="Times New Roman" w:eastAsia="宋体" w:cs="Times New Roman"/>
                <w:color w:val="FF0000"/>
                <w:sz w:val="20"/>
                <w:szCs w:val="20"/>
                <w:lang w:eastAsia="ja-JP"/>
              </w:rPr>
              <w:t xml:space="preserve">[extension of aperiodic antenna switching SRS configuration] only, then </w:t>
            </w:r>
            <w:r>
              <w:rPr>
                <w:rFonts w:hint="default" w:ascii="Times New Roman" w:hAnsi="Times New Roman" w:eastAsia="宋体" w:cs="Times New Roman"/>
                <w:color w:val="FF0000"/>
                <w:sz w:val="20"/>
                <w:szCs w:val="20"/>
                <w:lang w:val="en-US" w:eastAsia="zh-CN"/>
              </w:rPr>
              <w:t xml:space="preserve">up to </w:t>
            </w:r>
            <w:r>
              <w:rPr>
                <w:rFonts w:hint="default" w:ascii="Times New Roman" w:hAnsi="Times New Roman" w:eastAsia="宋体" w:cs="Times New Roman"/>
                <w:color w:val="FF0000"/>
                <w:sz w:val="20"/>
                <w:szCs w:val="20"/>
                <w:lang w:eastAsia="ja-JP"/>
              </w:rPr>
              <w:t xml:space="preserve">two SRS resource sets with </w:t>
            </w:r>
            <w:r>
              <w:rPr>
                <w:rFonts w:hint="default" w:ascii="Times New Roman" w:hAnsi="Times New Roman" w:eastAsia="宋体" w:cs="Times New Roman"/>
                <w:i/>
                <w:iCs/>
                <w:color w:val="FF0000"/>
                <w:sz w:val="20"/>
                <w:szCs w:val="20"/>
                <w:lang w:eastAsia="ja-JP"/>
              </w:rPr>
              <w:t xml:space="preserve">resourceType </w:t>
            </w:r>
            <w:r>
              <w:rPr>
                <w:rFonts w:hint="default" w:ascii="Times New Roman" w:hAnsi="Times New Roman" w:eastAsia="宋体" w:cs="Times New Roman"/>
                <w:color w:val="FF0000"/>
                <w:sz w:val="20"/>
                <w:szCs w:val="20"/>
                <w:lang w:eastAsia="ja-JP"/>
              </w:rPr>
              <w:t xml:space="preserve">in </w:t>
            </w:r>
            <w:r>
              <w:rPr>
                <w:rFonts w:hint="default" w:ascii="Times New Roman" w:hAnsi="Times New Roman" w:eastAsia="宋体" w:cs="Times New Roman"/>
                <w:i/>
                <w:iCs/>
                <w:color w:val="FF0000"/>
                <w:sz w:val="20"/>
                <w:szCs w:val="20"/>
                <w:lang w:eastAsia="ja-JP"/>
              </w:rPr>
              <w:t>SRS-ResourceSet</w:t>
            </w:r>
            <w:r>
              <w:rPr>
                <w:rFonts w:hint="default" w:ascii="Times New Roman" w:hAnsi="Times New Roman" w:eastAsia="宋体" w:cs="Times New Roman"/>
                <w:color w:val="FF0000"/>
                <w:sz w:val="20"/>
                <w:szCs w:val="20"/>
                <w:lang w:eastAsia="ja-JP"/>
              </w:rPr>
              <w:t xml:space="preserve"> set to ‘aperiodic’ and up to one SRS resource set with </w:t>
            </w:r>
            <w:r>
              <w:rPr>
                <w:rFonts w:hint="default" w:ascii="Times New Roman" w:hAnsi="Times New Roman" w:eastAsia="宋体" w:cs="Times New Roman"/>
                <w:i/>
                <w:iCs/>
                <w:color w:val="FF0000"/>
                <w:sz w:val="20"/>
                <w:szCs w:val="20"/>
                <w:lang w:eastAsia="ja-JP"/>
              </w:rPr>
              <w:t xml:space="preserve">resourceType </w:t>
            </w:r>
            <w:r>
              <w:rPr>
                <w:rFonts w:hint="default" w:ascii="Times New Roman" w:hAnsi="Times New Roman" w:eastAsia="宋体" w:cs="Times New Roman"/>
                <w:color w:val="FF0000"/>
                <w:sz w:val="20"/>
                <w:szCs w:val="20"/>
                <w:lang w:eastAsia="ja-JP"/>
              </w:rPr>
              <w:t xml:space="preserve">in </w:t>
            </w:r>
            <w:r>
              <w:rPr>
                <w:rFonts w:hint="default" w:ascii="Times New Roman" w:hAnsi="Times New Roman" w:eastAsia="宋体" w:cs="Times New Roman"/>
                <w:i/>
                <w:iCs/>
                <w:color w:val="FF0000"/>
                <w:sz w:val="20"/>
                <w:szCs w:val="20"/>
                <w:lang w:eastAsia="ja-JP"/>
              </w:rPr>
              <w:t>SRS-ResourceSet</w:t>
            </w:r>
            <w:r>
              <w:rPr>
                <w:rFonts w:hint="default" w:ascii="Times New Roman" w:hAnsi="Times New Roman" w:eastAsia="宋体" w:cs="Times New Roman"/>
                <w:color w:val="FF0000"/>
                <w:sz w:val="20"/>
                <w:szCs w:val="20"/>
                <w:lang w:eastAsia="ja-JP"/>
              </w:rPr>
              <w:t xml:space="preserve"> set to ‘periodic’ o</w:t>
            </w:r>
            <w:r>
              <w:rPr>
                <w:rFonts w:hint="default" w:ascii="Times New Roman" w:hAnsi="Times New Roman" w:eastAsia="宋体" w:cs="Times New Roman"/>
                <w:color w:val="FF0000"/>
                <w:sz w:val="20"/>
                <w:szCs w:val="20"/>
                <w:highlight w:val="none"/>
                <w:lang w:eastAsia="ja-JP"/>
              </w:rPr>
              <w:t xml:space="preserve">r ‘semi-persistent’ can be configured, or up to two SRS resource sets configured with a different value for the higher layer parameter </w:t>
            </w:r>
            <w:r>
              <w:rPr>
                <w:rFonts w:hint="default" w:ascii="Times New Roman" w:hAnsi="Times New Roman" w:eastAsia="宋体" w:cs="Times New Roman"/>
                <w:i/>
                <w:iCs/>
                <w:color w:val="FF0000"/>
                <w:sz w:val="20"/>
                <w:szCs w:val="20"/>
                <w:highlight w:val="none"/>
                <w:lang w:eastAsia="ja-JP"/>
              </w:rPr>
              <w:t xml:space="preserve">resourceType </w:t>
            </w:r>
            <w:r>
              <w:rPr>
                <w:rFonts w:hint="default" w:ascii="Times New Roman" w:hAnsi="Times New Roman" w:eastAsia="宋体" w:cs="Times New Roman"/>
                <w:color w:val="FF0000"/>
                <w:sz w:val="20"/>
                <w:szCs w:val="20"/>
                <w:highlight w:val="none"/>
                <w:lang w:eastAsia="ja-JP"/>
              </w:rPr>
              <w:t xml:space="preserve">in </w:t>
            </w:r>
            <w:r>
              <w:rPr>
                <w:rFonts w:hint="default" w:ascii="Times New Roman" w:hAnsi="Times New Roman" w:eastAsia="宋体" w:cs="Times New Roman"/>
                <w:i/>
                <w:iCs/>
                <w:color w:val="FF0000"/>
                <w:sz w:val="20"/>
                <w:szCs w:val="20"/>
                <w:highlight w:val="none"/>
                <w:lang w:eastAsia="ja-JP"/>
              </w:rPr>
              <w:t>SRS-ResourceSet</w:t>
            </w:r>
            <w:r>
              <w:rPr>
                <w:rFonts w:hint="default" w:ascii="Times New Roman" w:hAnsi="Times New Roman" w:eastAsia="宋体" w:cs="Times New Roman"/>
                <w:color w:val="FF0000"/>
                <w:sz w:val="20"/>
                <w:szCs w:val="20"/>
                <w:highlight w:val="none"/>
                <w:lang w:eastAsia="ja-JP"/>
              </w:rPr>
              <w:t xml:space="preserve"> can be configured.</w:t>
            </w:r>
            <w:r>
              <w:rPr>
                <w:rFonts w:hint="default" w:ascii="Times New Roman" w:hAnsi="Times New Roman" w:eastAsia="宋体" w:cs="Times New Roman"/>
                <w:color w:val="FF0000"/>
                <w:sz w:val="20"/>
                <w:szCs w:val="20"/>
                <w:highlight w:val="none"/>
                <w:lang w:val="en-US" w:eastAsia="zh-CN"/>
              </w:rPr>
              <w:t xml:space="preserve"> </w:t>
            </w:r>
            <w:r>
              <w:rPr>
                <w:rFonts w:hint="default" w:ascii="Times New Roman" w:hAnsi="Times New Roman" w:eastAsia="宋体" w:cs="Times New Roman"/>
                <w:color w:val="FF0000"/>
                <w:sz w:val="20"/>
                <w:szCs w:val="20"/>
                <w:highlight w:val="none"/>
              </w:rPr>
              <w:t xml:space="preserve">In the case of two resource sets with </w:t>
            </w:r>
            <w:r>
              <w:rPr>
                <w:rFonts w:hint="default" w:ascii="Times New Roman" w:hAnsi="Times New Roman" w:eastAsia="宋体" w:cs="Times New Roman"/>
                <w:i/>
                <w:iCs/>
                <w:color w:val="FF0000"/>
                <w:sz w:val="20"/>
                <w:szCs w:val="20"/>
                <w:highlight w:val="none"/>
              </w:rPr>
              <w:t xml:space="preserve">resourceType </w:t>
            </w:r>
            <w:r>
              <w:rPr>
                <w:rFonts w:hint="default" w:ascii="Times New Roman" w:hAnsi="Times New Roman" w:eastAsia="宋体" w:cs="Times New Roman"/>
                <w:color w:val="FF0000"/>
                <w:sz w:val="20"/>
                <w:szCs w:val="20"/>
                <w:highlight w:val="none"/>
              </w:rPr>
              <w:t xml:space="preserve">in </w:t>
            </w:r>
            <w:r>
              <w:rPr>
                <w:rFonts w:hint="default" w:ascii="Times New Roman" w:hAnsi="Times New Roman" w:eastAsia="宋体" w:cs="Times New Roman"/>
                <w:i/>
                <w:iCs/>
                <w:color w:val="FF0000"/>
                <w:sz w:val="20"/>
                <w:szCs w:val="20"/>
                <w:highlight w:val="none"/>
              </w:rPr>
              <w:t xml:space="preserve">SRS-ResourceSet </w:t>
            </w:r>
            <w:r>
              <w:rPr>
                <w:rFonts w:hint="default" w:ascii="Times New Roman" w:hAnsi="Times New Roman" w:eastAsia="宋体" w:cs="Times New Roman"/>
                <w:color w:val="FF0000"/>
                <w:sz w:val="20"/>
                <w:szCs w:val="20"/>
                <w:highlight w:val="none"/>
              </w:rPr>
              <w:t>set to ‘aperiodic’, a total of two SRS resources transmitted in different symbols of two different slots, and where the SRS port pair of each SRS resource in the given two sets is associated with a different UE antenna port pair and the two sets are each configured with one SRS resource.</w:t>
            </w:r>
            <w:r>
              <w:rPr>
                <w:rFonts w:hint="default" w:ascii="Times New Roman" w:hAnsi="Times New Roman" w:eastAsia="宋体" w:cs="Times New Roman"/>
                <w:color w:val="FF0000"/>
                <w:sz w:val="20"/>
                <w:szCs w:val="20"/>
                <w:highlight w:val="none"/>
                <w:lang w:val="en-US" w:eastAsia="zh-CN"/>
              </w:rPr>
              <w:t xml:space="preserve"> </w:t>
            </w:r>
            <w:r>
              <w:rPr>
                <w:rFonts w:hint="default" w:ascii="Times New Roman" w:hAnsi="Times New Roman" w:cs="Times New Roman"/>
                <w:color w:val="FF0000"/>
                <w:sz w:val="20"/>
                <w:szCs w:val="20"/>
                <w:highlight w:val="none"/>
                <w:lang w:val="en-US" w:eastAsia="zh-CN"/>
              </w:rPr>
              <w:t>I</w:t>
            </w:r>
            <w:r>
              <w:rPr>
                <w:rFonts w:hint="default" w:ascii="Times New Roman" w:hAnsi="Times New Roman" w:cs="Times New Roman"/>
                <w:color w:val="FF0000"/>
                <w:sz w:val="20"/>
                <w:szCs w:val="20"/>
                <w:highlight w:val="none"/>
              </w:rPr>
              <w:t xml:space="preserve">n the case of </w:t>
            </w:r>
            <w:r>
              <w:rPr>
                <w:rFonts w:hint="default" w:ascii="Times New Roman" w:hAnsi="Times New Roman" w:cs="Times New Roman"/>
                <w:color w:val="FF0000"/>
                <w:sz w:val="20"/>
                <w:szCs w:val="20"/>
                <w:highlight w:val="none"/>
                <w:lang w:val="en-US" w:eastAsia="zh-CN"/>
              </w:rPr>
              <w:t xml:space="preserve">the one </w:t>
            </w:r>
            <w:r>
              <w:rPr>
                <w:rFonts w:hint="default" w:ascii="Times New Roman" w:hAnsi="Times New Roman" w:cs="Times New Roman"/>
                <w:color w:val="FF0000"/>
                <w:sz w:val="20"/>
                <w:szCs w:val="20"/>
                <w:highlight w:val="none"/>
              </w:rPr>
              <w:t>resource set</w:t>
            </w:r>
            <w:r>
              <w:rPr>
                <w:rFonts w:hint="default" w:ascii="Times New Roman" w:hAnsi="Times New Roman" w:cs="Times New Roman"/>
                <w:color w:val="FF0000"/>
                <w:sz w:val="20"/>
                <w:szCs w:val="20"/>
                <w:highlight w:val="none"/>
                <w:lang w:val="en-US" w:eastAsia="zh-CN"/>
              </w:rPr>
              <w:t xml:space="preserve"> </w:t>
            </w:r>
            <w:r>
              <w:rPr>
                <w:rFonts w:hint="default" w:ascii="Times New Roman" w:hAnsi="Times New Roman" w:eastAsia="宋体" w:cs="Times New Roman"/>
                <w:color w:val="FF0000"/>
                <w:sz w:val="20"/>
                <w:szCs w:val="20"/>
                <w:highlight w:val="none"/>
                <w:lang w:val="en-US" w:eastAsia="zh-CN"/>
              </w:rPr>
              <w:t>with</w:t>
            </w:r>
            <w:r>
              <w:rPr>
                <w:rFonts w:hint="default" w:ascii="Times New Roman" w:hAnsi="Times New Roman" w:cs="Times New Roman"/>
                <w:color w:val="FF0000"/>
                <w:sz w:val="20"/>
                <w:szCs w:val="20"/>
                <w:highlight w:val="none"/>
              </w:rPr>
              <w:t xml:space="preserve"> </w:t>
            </w:r>
            <w:r>
              <w:rPr>
                <w:rFonts w:hint="default" w:ascii="Times New Roman" w:hAnsi="Times New Roman" w:cs="Times New Roman"/>
                <w:i/>
                <w:iCs/>
                <w:color w:val="FF0000"/>
                <w:sz w:val="20"/>
                <w:szCs w:val="20"/>
                <w:highlight w:val="none"/>
              </w:rPr>
              <w:t>resourceType</w:t>
            </w:r>
            <w:r>
              <w:rPr>
                <w:rFonts w:hint="default" w:ascii="Times New Roman" w:hAnsi="Times New Roman" w:cs="Times New Roman"/>
                <w:color w:val="FF0000"/>
                <w:sz w:val="20"/>
                <w:szCs w:val="20"/>
                <w:highlight w:val="none"/>
              </w:rPr>
              <w:t xml:space="preserve"> in </w:t>
            </w:r>
            <w:r>
              <w:rPr>
                <w:rFonts w:hint="default" w:ascii="Times New Roman" w:hAnsi="Times New Roman" w:cs="Times New Roman"/>
                <w:i/>
                <w:iCs/>
                <w:color w:val="FF0000"/>
                <w:sz w:val="20"/>
                <w:szCs w:val="20"/>
                <w:highlight w:val="none"/>
              </w:rPr>
              <w:t>SRS-ResourceSet</w:t>
            </w:r>
            <w:r>
              <w:rPr>
                <w:rFonts w:hint="default" w:ascii="Times New Roman" w:hAnsi="Times New Roman" w:cs="Times New Roman"/>
                <w:color w:val="FF0000"/>
                <w:sz w:val="20"/>
                <w:szCs w:val="20"/>
                <w:highlight w:val="none"/>
              </w:rPr>
              <w:t xml:space="preserve"> set to '</w:t>
            </w:r>
            <w:r>
              <w:rPr>
                <w:rFonts w:hint="default" w:ascii="Times New Roman" w:hAnsi="Times New Roman" w:cs="Times New Roman"/>
                <w:color w:val="FF0000"/>
                <w:sz w:val="20"/>
                <w:szCs w:val="20"/>
                <w:highlight w:val="none"/>
                <w:lang w:val="en-US" w:eastAsia="zh-CN"/>
              </w:rPr>
              <w:t>a</w:t>
            </w:r>
            <w:r>
              <w:rPr>
                <w:rFonts w:hint="default" w:ascii="Times New Roman" w:hAnsi="Times New Roman" w:cs="Times New Roman"/>
                <w:color w:val="FF0000"/>
                <w:sz w:val="20"/>
                <w:szCs w:val="20"/>
                <w:highlight w:val="none"/>
              </w:rPr>
              <w:t xml:space="preserve">periodic' </w:t>
            </w:r>
            <w:r>
              <w:rPr>
                <w:rFonts w:hint="default" w:ascii="Times New Roman" w:hAnsi="Times New Roman" w:cs="Times New Roman"/>
                <w:color w:val="FF0000"/>
                <w:sz w:val="20"/>
                <w:szCs w:val="20"/>
                <w:highlight w:val="none"/>
                <w:lang w:val="en-US" w:eastAsia="zh-CN"/>
              </w:rPr>
              <w:t xml:space="preserve">is configured, </w:t>
            </w:r>
            <w:r>
              <w:rPr>
                <w:rFonts w:hint="default" w:ascii="Times New Roman" w:hAnsi="Times New Roman" w:cs="Times New Roman"/>
                <w:color w:val="FF0000"/>
                <w:sz w:val="20"/>
                <w:szCs w:val="20"/>
                <w:highlight w:val="none"/>
              </w:rPr>
              <w:t>a total of two SRS resources transmitted in different symbols of one slot and where the SRS port of the second resource in the given set is associated with a different UE antenna port than the SRS port of the first resource in the same set.</w:t>
            </w:r>
            <w:r>
              <w:rPr>
                <w:rFonts w:hint="default" w:ascii="Times New Roman" w:hAnsi="Times New Roman" w:cs="Times New Roman"/>
                <w:color w:val="FF0000"/>
                <w:sz w:val="20"/>
                <w:szCs w:val="20"/>
                <w:highlight w:val="none"/>
                <w:lang w:val="en-US" w:eastAsia="zh-CN"/>
              </w:rPr>
              <w:t xml:space="preserve"> E</w:t>
            </w:r>
            <w:r>
              <w:rPr>
                <w:rFonts w:hint="default" w:ascii="Times New Roman" w:hAnsi="Times New Roman" w:eastAsia="等线" w:cs="Times New Roman"/>
                <w:color w:val="FF0000"/>
                <w:sz w:val="20"/>
                <w:szCs w:val="20"/>
                <w:highlight w:val="none"/>
                <w:lang w:val="en-US" w:eastAsia="zh-CN"/>
              </w:rPr>
              <w:t>ach</w:t>
            </w:r>
            <w:r>
              <w:rPr>
                <w:rFonts w:hint="default" w:ascii="Times New Roman" w:hAnsi="Times New Roman" w:cs="Times New Roman"/>
                <w:color w:val="FF0000"/>
                <w:sz w:val="20"/>
                <w:szCs w:val="20"/>
                <w:highlight w:val="none"/>
              </w:rPr>
              <w:t xml:space="preserve"> SRS resource set</w:t>
            </w:r>
            <w:r>
              <w:rPr>
                <w:rFonts w:hint="default" w:ascii="Times New Roman" w:hAnsi="Times New Roman" w:cs="Times New Roman"/>
                <w:color w:val="FF0000"/>
                <w:sz w:val="20"/>
                <w:szCs w:val="20"/>
                <w:highlight w:val="none"/>
                <w:lang w:val="en-US" w:eastAsia="zh-CN"/>
              </w:rPr>
              <w:t xml:space="preserve"> with ‘</w:t>
            </w:r>
            <w:r>
              <w:rPr>
                <w:rFonts w:hint="default" w:ascii="Times New Roman" w:hAnsi="Times New Roman" w:cs="Times New Roman"/>
                <w:i w:val="0"/>
                <w:iCs w:val="0"/>
                <w:color w:val="FF0000"/>
                <w:sz w:val="20"/>
                <w:szCs w:val="20"/>
                <w:highlight w:val="none"/>
              </w:rPr>
              <w:t>resourceType</w:t>
            </w:r>
            <w:r>
              <w:rPr>
                <w:rFonts w:hint="default" w:ascii="Times New Roman" w:hAnsi="Times New Roman" w:cs="Times New Roman"/>
                <w:i w:val="0"/>
                <w:iCs w:val="0"/>
                <w:color w:val="FF0000"/>
                <w:sz w:val="20"/>
                <w:szCs w:val="20"/>
                <w:highlight w:val="none"/>
                <w:lang w:val="en-US" w:eastAsia="zh-CN"/>
              </w:rPr>
              <w:t>’</w:t>
            </w:r>
            <w:r>
              <w:rPr>
                <w:rFonts w:hint="default" w:ascii="Times New Roman" w:hAnsi="Times New Roman" w:cs="Times New Roman"/>
                <w:color w:val="FF0000"/>
                <w:sz w:val="20"/>
                <w:szCs w:val="20"/>
                <w:highlight w:val="none"/>
              </w:rPr>
              <w:t xml:space="preserve"> in </w:t>
            </w:r>
            <w:r>
              <w:rPr>
                <w:rFonts w:hint="default" w:ascii="Times New Roman" w:hAnsi="Times New Roman" w:cs="Times New Roman"/>
                <w:i/>
                <w:iCs/>
                <w:color w:val="FF0000"/>
                <w:sz w:val="20"/>
                <w:szCs w:val="20"/>
                <w:highlight w:val="none"/>
              </w:rPr>
              <w:t xml:space="preserve">SRS-ResourceSet </w:t>
            </w:r>
            <w:r>
              <w:rPr>
                <w:rFonts w:hint="default" w:ascii="Times New Roman" w:hAnsi="Times New Roman" w:cs="Times New Roman"/>
                <w:color w:val="FF0000"/>
                <w:sz w:val="20"/>
                <w:szCs w:val="20"/>
                <w:highlight w:val="none"/>
              </w:rPr>
              <w:t>set to 'periodic' or 'semi-persistent'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Pr>
                <w:rFonts w:hint="default" w:ascii="Times New Roman" w:hAnsi="Times New Roman" w:cs="Times New Roman"/>
                <w:color w:val="FF0000"/>
                <w:sz w:val="20"/>
                <w:szCs w:val="20"/>
                <w:highlight w:val="none"/>
                <w:lang w:val="en-US" w:eastAsia="zh-CN"/>
              </w:rPr>
              <w:t>.</w:t>
            </w:r>
          </w:p>
          <w:p>
            <w:pPr>
              <w:pStyle w:val="84"/>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zero or one or two SRS resource sets configured with different value of </w:t>
            </w:r>
            <w:r>
              <w:rPr>
                <w:rFonts w:hint="default" w:ascii="Times New Roman" w:hAnsi="Times New Roman" w:cs="Times New Roman"/>
                <w:i/>
                <w:iCs/>
                <w:sz w:val="20"/>
                <w:szCs w:val="20"/>
              </w:rPr>
              <w:t>resourceType</w:t>
            </w:r>
            <w:r>
              <w:rPr>
                <w:rFonts w:hint="default" w:ascii="Times New Roman" w:hAnsi="Times New Roman" w:cs="Times New Roman"/>
                <w:sz w:val="20"/>
                <w:szCs w:val="20"/>
              </w:rPr>
              <w:t xml:space="preserve"> in </w:t>
            </w:r>
            <w:r>
              <w:rPr>
                <w:rFonts w:hint="default" w:ascii="Times New Roman" w:hAnsi="Times New Roman" w:cs="Times New Roman"/>
                <w:i/>
                <w:iCs/>
                <w:sz w:val="20"/>
                <w:szCs w:val="20"/>
              </w:rPr>
              <w:t>SRS-ResourceSet</w:t>
            </w:r>
            <w:r>
              <w:rPr>
                <w:rFonts w:hint="default" w:ascii="Times New Roman" w:hAnsi="Times New Roman" w:cs="Times New Roman"/>
                <w:sz w:val="20"/>
                <w:szCs w:val="20"/>
              </w:rPr>
              <w:t xml:space="preserve"> set to 'periodic' or 'semi-persistent' if the UE is not indicating a capability for [maximum 2 semi-persistent and maximum 1 periodic SRS resource sets], or up to two SRS resource sets configured with resourceType in SRS-ResourceSet set to 'semi-persistent' and up to one SRS resource set configured with resourceType in SRS-ResourceSet set to 'periodic' if the UE is indicating a capability for [maximum 2 semi-persistent and maximum 1 periodic SRS resource sets], where the two SRS resource sets configured with 'semi-persistent' are not activated at the same time. An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 and</w:t>
            </w:r>
          </w:p>
          <w:p>
            <w:pPr>
              <w:pStyle w:val="84"/>
              <w:rPr>
                <w:rFonts w:hint="default" w:ascii="Times New Roman" w:hAnsi="Times New Roman" w:eastAsia="等线" w:cs="Times New Roman"/>
                <w:color w:val="FF0000"/>
                <w:sz w:val="20"/>
                <w:szCs w:val="20"/>
                <w:highlight w:val="none"/>
                <w:lang w:val="en-US"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zero or one SRS resource set with </w:t>
            </w:r>
            <w:r>
              <w:rPr>
                <w:rFonts w:hint="default" w:ascii="Times New Roman" w:hAnsi="Times New Roman" w:cs="Times New Roman"/>
                <w:i/>
                <w:iCs/>
                <w:sz w:val="20"/>
                <w:szCs w:val="20"/>
              </w:rPr>
              <w:t>resourceType</w:t>
            </w:r>
            <w:r>
              <w:rPr>
                <w:rFonts w:hint="default" w:ascii="Times New Roman" w:hAnsi="Times New Roman" w:cs="Times New Roman"/>
                <w:sz w:val="20"/>
                <w:szCs w:val="20"/>
              </w:rPr>
              <w:t xml:space="preserve"> in </w:t>
            </w:r>
            <w:r>
              <w:rPr>
                <w:rFonts w:hint="default" w:ascii="Times New Roman" w:hAnsi="Times New Roman" w:cs="Times New Roman"/>
                <w:i/>
                <w:iCs/>
                <w:sz w:val="20"/>
                <w:szCs w:val="20"/>
              </w:rPr>
              <w:t>SRS-ResourceSet</w:t>
            </w:r>
            <w:r>
              <w:rPr>
                <w:rFonts w:hint="default" w:ascii="Times New Roman" w:hAnsi="Times New Roman" w:cs="Times New Roman"/>
                <w:sz w:val="20"/>
                <w:szCs w:val="20"/>
              </w:rPr>
              <w:t xml:space="preserve"> set to 'aperiodic' if the UE is not indicating a capability for [extension of aperiodic antenna switching SRS configuration], or up to two SRS resource sets configured with </w:t>
            </w:r>
            <w:r>
              <w:rPr>
                <w:rFonts w:hint="default" w:ascii="Times New Roman" w:hAnsi="Times New Roman" w:cs="Times New Roman"/>
                <w:i/>
                <w:iCs/>
                <w:sz w:val="20"/>
                <w:szCs w:val="20"/>
              </w:rPr>
              <w:t>resourceType</w:t>
            </w:r>
            <w:r>
              <w:rPr>
                <w:rFonts w:hint="default" w:ascii="Times New Roman" w:hAnsi="Times New Roman" w:cs="Times New Roman"/>
                <w:sz w:val="20"/>
                <w:szCs w:val="20"/>
              </w:rPr>
              <w:t xml:space="preserve"> in </w:t>
            </w:r>
            <w:r>
              <w:rPr>
                <w:rFonts w:hint="default" w:ascii="Times New Roman" w:hAnsi="Times New Roman" w:cs="Times New Roman"/>
                <w:i/>
                <w:iCs/>
                <w:sz w:val="20"/>
                <w:szCs w:val="20"/>
              </w:rPr>
              <w:t>SRS-ResourceSet</w:t>
            </w:r>
            <w:r>
              <w:rPr>
                <w:rFonts w:hint="default" w:ascii="Times New Roman" w:hAnsi="Times New Roman" w:cs="Times New Roman"/>
                <w:sz w:val="20"/>
                <w:szCs w:val="20"/>
              </w:rPr>
              <w:t xml:space="preserve"> set to 'aperiodic' if the UE is indicating a capability for [extension of aperiodic antenna switching SRS configuration], where in the case of one resource set, a total of two SRS resources transmitted in different symbols of one slot and where the SRS port of the second resource in the given set is associated with a different UE antenna port than the SRS port of the first resource in the same set. In the case of two resource sets, a total of two SRS resources transmitted in different symbols of two different slots, and where the SRS port of each SRS resource in the given two sets is associated with a different UE antenna port. The two sets are each configured with one SRS resource, or</w:t>
            </w:r>
          </w:p>
          <w:p>
            <w:pPr>
              <w:pStyle w:val="104"/>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&lt;Unrelated part omitted&gt;</w:t>
            </w:r>
          </w:p>
          <w:p>
            <w:pPr>
              <w:spacing w:after="180"/>
              <w:ind w:left="568" w:hanging="284"/>
              <w:rPr>
                <w:rFonts w:hint="default" w:ascii="Times New Roman" w:hAnsi="Times New Roman" w:eastAsia="MS Mincho" w:cs="Times New Roman"/>
                <w:iCs/>
                <w:sz w:val="20"/>
                <w:szCs w:val="20"/>
                <w:lang w:eastAsia="ja-JP"/>
              </w:rPr>
            </w:pPr>
            <w:r>
              <w:rPr>
                <w:rFonts w:hint="default" w:ascii="Times New Roman" w:hAnsi="Times New Roman" w:eastAsia="MS Mincho" w:cs="Times New Roman"/>
                <w:iCs/>
                <w:sz w:val="20"/>
                <w:szCs w:val="20"/>
                <w:lang w:eastAsia="ja-JP"/>
              </w:rPr>
              <w:t>-</w:t>
            </w:r>
            <w:r>
              <w:rPr>
                <w:rFonts w:hint="default" w:ascii="Times New Roman" w:hAnsi="Times New Roman" w:eastAsia="MS Mincho" w:cs="Times New Roman"/>
                <w:iCs/>
                <w:sz w:val="20"/>
                <w:szCs w:val="20"/>
                <w:lang w:eastAsia="ja-JP"/>
              </w:rPr>
              <w:tab/>
            </w:r>
            <w:r>
              <w:rPr>
                <w:rFonts w:hint="default" w:ascii="Times New Roman" w:hAnsi="Times New Roman" w:eastAsia="MS Mincho" w:cs="Times New Roman"/>
                <w:iCs/>
                <w:sz w:val="20"/>
                <w:szCs w:val="20"/>
                <w:lang w:eastAsia="ja-JP"/>
              </w:rPr>
              <w:t>For 2T4R, if the UE is indicating a capability for [maximum 2 semi-persistent and maximum 1 periodic SRS resource sets] and/or a capability for [extension of aperiodic antenna switching SRS configuration]:</w:t>
            </w:r>
          </w:p>
          <w:p>
            <w:pPr>
              <w:spacing w:after="180"/>
              <w:ind w:left="851" w:hanging="284"/>
              <w:rPr>
                <w:rFonts w:hint="default" w:ascii="Times New Roman" w:hAnsi="Times New Roman" w:eastAsia="等线" w:cs="Times New Roman"/>
                <w:color w:val="FF0000"/>
                <w:sz w:val="20"/>
                <w:szCs w:val="20"/>
                <w:highlight w:val="none"/>
                <w:lang w:val="en-US" w:eastAsia="zh-CN"/>
              </w:rPr>
            </w:pPr>
            <w:r>
              <w:rPr>
                <w:rFonts w:hint="default" w:ascii="Times New Roman" w:hAnsi="Times New Roman" w:eastAsia="宋体" w:cs="Times New Roman"/>
                <w:color w:val="FF0000"/>
                <w:sz w:val="20"/>
                <w:szCs w:val="20"/>
              </w:rPr>
              <w:t>-</w:t>
            </w:r>
            <w:r>
              <w:rPr>
                <w:rFonts w:hint="default" w:ascii="Times New Roman" w:hAnsi="Times New Roman" w:eastAsia="宋体" w:cs="Times New Roman"/>
                <w:color w:val="FF0000"/>
                <w:sz w:val="20"/>
                <w:szCs w:val="20"/>
              </w:rPr>
              <w:tab/>
            </w:r>
            <w:r>
              <w:rPr>
                <w:rFonts w:hint="default" w:ascii="Times New Roman" w:hAnsi="Times New Roman" w:eastAsia="宋体" w:cs="Times New Roman"/>
                <w:color w:val="FF0000"/>
                <w:sz w:val="20"/>
                <w:szCs w:val="20"/>
                <w:lang w:eastAsia="zh-CN"/>
              </w:rPr>
              <w:t xml:space="preserve">When the UE </w:t>
            </w:r>
            <w:r>
              <w:rPr>
                <w:rFonts w:hint="default" w:ascii="Times New Roman" w:hAnsi="Times New Roman" w:eastAsia="宋体" w:cs="Times New Roman"/>
                <w:color w:val="FF0000"/>
                <w:sz w:val="20"/>
                <w:szCs w:val="20"/>
              </w:rPr>
              <w:t>is indicating a capability for</w:t>
            </w:r>
            <w:r>
              <w:rPr>
                <w:rFonts w:hint="default" w:ascii="Times New Roman" w:hAnsi="Times New Roman" w:eastAsia="宋体" w:cs="Times New Roman"/>
                <w:color w:val="FF0000"/>
                <w:sz w:val="20"/>
                <w:szCs w:val="20"/>
                <w:lang w:eastAsia="zh-CN"/>
              </w:rPr>
              <w:t xml:space="preserve"> </w:t>
            </w:r>
            <w:r>
              <w:rPr>
                <w:rFonts w:hint="default" w:ascii="Times New Roman" w:hAnsi="Times New Roman" w:eastAsia="宋体" w:cs="Times New Roman"/>
                <w:color w:val="FF0000"/>
                <w:sz w:val="20"/>
                <w:szCs w:val="20"/>
                <w:lang w:eastAsia="ja-JP"/>
              </w:rPr>
              <w:t xml:space="preserve">[maximum 2 semi-persistent and maximum 1 periodic SRS resource sets] only, then </w:t>
            </w:r>
            <w:r>
              <w:rPr>
                <w:rFonts w:hint="default" w:ascii="Times New Roman" w:hAnsi="Times New Roman" w:eastAsia="宋体" w:cs="Times New Roman"/>
                <w:color w:val="FF0000"/>
                <w:sz w:val="20"/>
                <w:szCs w:val="20"/>
                <w:lang w:val="en-US" w:eastAsia="zh-CN"/>
              </w:rPr>
              <w:t xml:space="preserve">up to </w:t>
            </w:r>
            <w:r>
              <w:rPr>
                <w:rFonts w:hint="default" w:ascii="Times New Roman" w:hAnsi="Times New Roman" w:eastAsia="宋体" w:cs="Times New Roman"/>
                <w:color w:val="FF0000"/>
                <w:sz w:val="20"/>
                <w:szCs w:val="20"/>
                <w:lang w:eastAsia="ja-JP"/>
              </w:rPr>
              <w:t xml:space="preserve">two SRS resource sets with </w:t>
            </w:r>
            <w:r>
              <w:rPr>
                <w:rFonts w:hint="default" w:ascii="Times New Roman" w:hAnsi="Times New Roman" w:eastAsia="宋体" w:cs="Times New Roman"/>
                <w:i/>
                <w:iCs/>
                <w:color w:val="FF0000"/>
                <w:sz w:val="20"/>
                <w:szCs w:val="20"/>
                <w:lang w:eastAsia="ja-JP"/>
              </w:rPr>
              <w:t xml:space="preserve">resourceType </w:t>
            </w:r>
            <w:r>
              <w:rPr>
                <w:rFonts w:hint="default" w:ascii="Times New Roman" w:hAnsi="Times New Roman" w:eastAsia="宋体" w:cs="Times New Roman"/>
                <w:color w:val="FF0000"/>
                <w:sz w:val="20"/>
                <w:szCs w:val="20"/>
                <w:lang w:eastAsia="ja-JP"/>
              </w:rPr>
              <w:t xml:space="preserve">in </w:t>
            </w:r>
            <w:r>
              <w:rPr>
                <w:rFonts w:hint="default" w:ascii="Times New Roman" w:hAnsi="Times New Roman" w:eastAsia="宋体" w:cs="Times New Roman"/>
                <w:i/>
                <w:iCs/>
                <w:color w:val="FF0000"/>
                <w:sz w:val="20"/>
                <w:szCs w:val="20"/>
                <w:lang w:eastAsia="ja-JP"/>
              </w:rPr>
              <w:t>SRS-ResourceSet</w:t>
            </w:r>
            <w:r>
              <w:rPr>
                <w:rFonts w:hint="default" w:ascii="Times New Roman" w:hAnsi="Times New Roman" w:eastAsia="宋体" w:cs="Times New Roman"/>
                <w:color w:val="FF0000"/>
                <w:sz w:val="20"/>
                <w:szCs w:val="20"/>
                <w:lang w:eastAsia="ja-JP"/>
              </w:rPr>
              <w:t xml:space="preserve"> set to ‘semi-persistent’ and </w:t>
            </w:r>
            <w:r>
              <w:rPr>
                <w:rFonts w:hint="default" w:ascii="Times New Roman" w:hAnsi="Times New Roman" w:eastAsia="宋体" w:cs="Times New Roman"/>
                <w:color w:val="FF0000"/>
                <w:sz w:val="20"/>
                <w:szCs w:val="20"/>
                <w:lang w:val="en-US" w:eastAsia="zh-CN"/>
              </w:rPr>
              <w:t xml:space="preserve">up to </w:t>
            </w:r>
            <w:r>
              <w:rPr>
                <w:rFonts w:hint="default" w:ascii="Times New Roman" w:hAnsi="Times New Roman" w:eastAsia="宋体" w:cs="Times New Roman"/>
                <w:color w:val="FF0000"/>
                <w:sz w:val="20"/>
                <w:szCs w:val="20"/>
                <w:lang w:eastAsia="ja-JP"/>
              </w:rPr>
              <w:t>one SRS reso</w:t>
            </w:r>
            <w:r>
              <w:rPr>
                <w:rFonts w:hint="default" w:ascii="Times New Roman" w:hAnsi="Times New Roman" w:eastAsia="宋体" w:cs="Times New Roman"/>
                <w:color w:val="FF0000"/>
                <w:sz w:val="20"/>
                <w:szCs w:val="20"/>
                <w:highlight w:val="none"/>
                <w:lang w:eastAsia="ja-JP"/>
              </w:rPr>
              <w:t xml:space="preserve">urce set with </w:t>
            </w:r>
            <w:r>
              <w:rPr>
                <w:rFonts w:hint="default" w:ascii="Times New Roman" w:hAnsi="Times New Roman" w:eastAsia="宋体" w:cs="Times New Roman"/>
                <w:i/>
                <w:iCs/>
                <w:color w:val="FF0000"/>
                <w:sz w:val="20"/>
                <w:szCs w:val="20"/>
                <w:highlight w:val="none"/>
                <w:lang w:eastAsia="ja-JP"/>
              </w:rPr>
              <w:t xml:space="preserve">resourceType </w:t>
            </w:r>
            <w:r>
              <w:rPr>
                <w:rFonts w:hint="default" w:ascii="Times New Roman" w:hAnsi="Times New Roman" w:eastAsia="宋体" w:cs="Times New Roman"/>
                <w:color w:val="FF0000"/>
                <w:sz w:val="20"/>
                <w:szCs w:val="20"/>
                <w:highlight w:val="none"/>
                <w:lang w:eastAsia="ja-JP"/>
              </w:rPr>
              <w:t xml:space="preserve">in </w:t>
            </w:r>
            <w:r>
              <w:rPr>
                <w:rFonts w:hint="default" w:ascii="Times New Roman" w:hAnsi="Times New Roman" w:eastAsia="宋体" w:cs="Times New Roman"/>
                <w:i/>
                <w:iCs/>
                <w:color w:val="FF0000"/>
                <w:sz w:val="20"/>
                <w:szCs w:val="20"/>
                <w:highlight w:val="none"/>
                <w:lang w:eastAsia="ja-JP"/>
              </w:rPr>
              <w:t>SRS-ResourceSet</w:t>
            </w:r>
            <w:r>
              <w:rPr>
                <w:rFonts w:hint="default" w:ascii="Times New Roman" w:hAnsi="Times New Roman" w:eastAsia="宋体" w:cs="Times New Roman"/>
                <w:color w:val="FF0000"/>
                <w:sz w:val="20"/>
                <w:szCs w:val="20"/>
                <w:highlight w:val="none"/>
                <w:lang w:eastAsia="ja-JP"/>
              </w:rPr>
              <w:t xml:space="preserve"> set to ‘periodic’ can be configured, or up to two SRS resource sets configured with a different value for the higher layer parameter </w:t>
            </w:r>
            <w:r>
              <w:rPr>
                <w:rFonts w:hint="default" w:ascii="Times New Roman" w:hAnsi="Times New Roman" w:eastAsia="宋体" w:cs="Times New Roman"/>
                <w:i/>
                <w:iCs/>
                <w:color w:val="FF0000"/>
                <w:sz w:val="20"/>
                <w:szCs w:val="20"/>
                <w:highlight w:val="none"/>
                <w:lang w:eastAsia="ja-JP"/>
              </w:rPr>
              <w:t xml:space="preserve">resourceType </w:t>
            </w:r>
            <w:r>
              <w:rPr>
                <w:rFonts w:hint="default" w:ascii="Times New Roman" w:hAnsi="Times New Roman" w:eastAsia="宋体" w:cs="Times New Roman"/>
                <w:color w:val="FF0000"/>
                <w:sz w:val="20"/>
                <w:szCs w:val="20"/>
                <w:highlight w:val="none"/>
                <w:lang w:eastAsia="ja-JP"/>
              </w:rPr>
              <w:t xml:space="preserve">in </w:t>
            </w:r>
            <w:r>
              <w:rPr>
                <w:rFonts w:hint="default" w:ascii="Times New Roman" w:hAnsi="Times New Roman" w:eastAsia="宋体" w:cs="Times New Roman"/>
                <w:i/>
                <w:iCs/>
                <w:color w:val="FF0000"/>
                <w:sz w:val="20"/>
                <w:szCs w:val="20"/>
                <w:highlight w:val="none"/>
                <w:lang w:eastAsia="ja-JP"/>
              </w:rPr>
              <w:t>SRS-ResourceSet</w:t>
            </w:r>
            <w:r>
              <w:rPr>
                <w:rFonts w:hint="default" w:ascii="Times New Roman" w:hAnsi="Times New Roman" w:eastAsia="宋体" w:cs="Times New Roman"/>
                <w:color w:val="FF0000"/>
                <w:sz w:val="20"/>
                <w:szCs w:val="20"/>
                <w:highlight w:val="none"/>
                <w:lang w:eastAsia="ja-JP"/>
              </w:rPr>
              <w:t xml:space="preserve"> can be configured</w:t>
            </w:r>
            <w:r>
              <w:rPr>
                <w:rFonts w:hint="default" w:ascii="Times New Roman" w:hAnsi="Times New Roman" w:eastAsia="宋体" w:cs="Times New Roman"/>
                <w:color w:val="FF0000"/>
                <w:sz w:val="20"/>
                <w:szCs w:val="20"/>
                <w:highlight w:val="none"/>
                <w:lang w:val="en-US" w:eastAsia="zh-CN"/>
              </w:rPr>
              <w:t xml:space="preserve">, </w:t>
            </w:r>
            <w:r>
              <w:rPr>
                <w:rFonts w:hint="default" w:ascii="Times New Roman" w:hAnsi="Times New Roman" w:cs="Times New Roman"/>
                <w:color w:val="FF0000"/>
                <w:sz w:val="20"/>
                <w:szCs w:val="20"/>
                <w:highlight w:val="none"/>
              </w:rPr>
              <w:t>where the two SRS resource sets configured with 'semi-persistent' are not activated at the same time</w:t>
            </w:r>
            <w:r>
              <w:rPr>
                <w:rFonts w:hint="default" w:ascii="Times New Roman" w:hAnsi="Times New Roman" w:cs="Times New Roman"/>
                <w:color w:val="FF0000"/>
                <w:sz w:val="20"/>
                <w:szCs w:val="20"/>
                <w:highlight w:val="none"/>
                <w:lang w:val="en-US" w:eastAsia="zh-CN"/>
              </w:rPr>
              <w:t>, e</w:t>
            </w:r>
            <w:r>
              <w:rPr>
                <w:rFonts w:hint="default" w:ascii="Times New Roman" w:hAnsi="Times New Roman" w:eastAsia="等线" w:cs="Times New Roman"/>
                <w:color w:val="FF0000"/>
                <w:sz w:val="20"/>
                <w:szCs w:val="20"/>
                <w:highlight w:val="none"/>
                <w:lang w:val="en-US" w:eastAsia="zh-CN"/>
              </w:rPr>
              <w:t>ach</w:t>
            </w:r>
            <w:r>
              <w:rPr>
                <w:rFonts w:hint="default" w:ascii="Times New Roman" w:hAnsi="Times New Roman" w:cs="Times New Roman"/>
                <w:color w:val="FF0000"/>
                <w:sz w:val="20"/>
                <w:szCs w:val="20"/>
                <w:highlight w:val="none"/>
              </w:rPr>
              <w:t xml:space="preserve"> SRS resource set </w:t>
            </w:r>
            <w:r>
              <w:rPr>
                <w:rFonts w:hint="default" w:ascii="Times New Roman" w:hAnsi="Times New Roman" w:cs="Times New Roman"/>
                <w:color w:val="FF0000"/>
                <w:sz w:val="20"/>
                <w:szCs w:val="20"/>
                <w:highlight w:val="none"/>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Pr>
                <w:rFonts w:hint="default" w:ascii="Times New Roman" w:hAnsi="Times New Roman" w:cs="Times New Roman"/>
                <w:color w:val="FF0000"/>
                <w:sz w:val="20"/>
                <w:szCs w:val="20"/>
                <w:highlight w:val="none"/>
                <w:lang w:val="en-US" w:eastAsia="zh-CN"/>
              </w:rPr>
              <w:t>.</w:t>
            </w:r>
          </w:p>
          <w:p>
            <w:pPr>
              <w:spacing w:after="180"/>
              <w:ind w:left="851" w:hanging="284"/>
              <w:rPr>
                <w:rFonts w:hint="default" w:ascii="Times New Roman" w:hAnsi="Times New Roman" w:cs="Times New Roman"/>
                <w:color w:val="FF0000"/>
                <w:sz w:val="20"/>
                <w:szCs w:val="20"/>
                <w:highlight w:val="none"/>
                <w:lang w:val="en-US" w:eastAsia="zh-CN"/>
              </w:rPr>
            </w:pPr>
            <w:r>
              <w:rPr>
                <w:rFonts w:hint="default" w:ascii="Times New Roman" w:hAnsi="Times New Roman" w:eastAsia="宋体" w:cs="Times New Roman"/>
                <w:color w:val="FF0000"/>
                <w:sz w:val="20"/>
                <w:szCs w:val="20"/>
                <w:highlight w:val="none"/>
              </w:rPr>
              <w:t>-</w:t>
            </w:r>
            <w:r>
              <w:rPr>
                <w:rFonts w:hint="default" w:ascii="Times New Roman" w:hAnsi="Times New Roman" w:eastAsia="宋体" w:cs="Times New Roman"/>
                <w:color w:val="FF0000"/>
                <w:sz w:val="20"/>
                <w:szCs w:val="20"/>
                <w:highlight w:val="none"/>
              </w:rPr>
              <w:tab/>
            </w:r>
            <w:r>
              <w:rPr>
                <w:rFonts w:hint="default" w:ascii="Times New Roman" w:hAnsi="Times New Roman" w:eastAsia="宋体" w:cs="Times New Roman"/>
                <w:color w:val="FF0000"/>
                <w:sz w:val="20"/>
                <w:szCs w:val="20"/>
                <w:highlight w:val="none"/>
                <w:lang w:eastAsia="ja-JP"/>
              </w:rPr>
              <w:t xml:space="preserve">When the UE </w:t>
            </w:r>
            <w:r>
              <w:rPr>
                <w:rFonts w:hint="default" w:ascii="Times New Roman" w:hAnsi="Times New Roman" w:eastAsia="宋体" w:cs="Times New Roman"/>
                <w:color w:val="FF0000"/>
                <w:sz w:val="20"/>
                <w:szCs w:val="20"/>
                <w:highlight w:val="none"/>
              </w:rPr>
              <w:t>is indicating a capability for</w:t>
            </w:r>
            <w:r>
              <w:rPr>
                <w:rFonts w:hint="default" w:ascii="Times New Roman" w:hAnsi="Times New Roman" w:eastAsia="宋体" w:cs="Times New Roman"/>
                <w:color w:val="FF0000"/>
                <w:sz w:val="20"/>
                <w:szCs w:val="20"/>
                <w:highlight w:val="none"/>
                <w:lang w:eastAsia="zh-CN"/>
              </w:rPr>
              <w:t xml:space="preserve"> </w:t>
            </w:r>
            <w:r>
              <w:rPr>
                <w:rFonts w:hint="default" w:ascii="Times New Roman" w:hAnsi="Times New Roman" w:eastAsia="宋体" w:cs="Times New Roman"/>
                <w:color w:val="FF0000"/>
                <w:sz w:val="20"/>
                <w:szCs w:val="20"/>
                <w:highlight w:val="none"/>
                <w:lang w:eastAsia="ja-JP"/>
              </w:rPr>
              <w:t xml:space="preserve">[extension of aperiodic antenna switching SRS configuration] only, then </w:t>
            </w:r>
            <w:r>
              <w:rPr>
                <w:rFonts w:hint="default" w:ascii="Times New Roman" w:hAnsi="Times New Roman" w:eastAsia="宋体" w:cs="Times New Roman"/>
                <w:color w:val="FF0000"/>
                <w:sz w:val="20"/>
                <w:szCs w:val="20"/>
                <w:highlight w:val="none"/>
                <w:lang w:val="en-US" w:eastAsia="zh-CN"/>
              </w:rPr>
              <w:t xml:space="preserve">up to </w:t>
            </w:r>
            <w:r>
              <w:rPr>
                <w:rFonts w:hint="default" w:ascii="Times New Roman" w:hAnsi="Times New Roman" w:eastAsia="宋体" w:cs="Times New Roman"/>
                <w:color w:val="FF0000"/>
                <w:sz w:val="20"/>
                <w:szCs w:val="20"/>
                <w:highlight w:val="none"/>
                <w:lang w:eastAsia="zh-CN"/>
              </w:rPr>
              <w:t>t</w:t>
            </w:r>
            <w:r>
              <w:rPr>
                <w:rFonts w:hint="default" w:ascii="Times New Roman" w:hAnsi="Times New Roman" w:eastAsia="宋体" w:cs="Times New Roman"/>
                <w:color w:val="FF0000"/>
                <w:sz w:val="20"/>
                <w:szCs w:val="20"/>
                <w:highlight w:val="none"/>
                <w:lang w:eastAsia="ja-JP"/>
              </w:rPr>
              <w:t xml:space="preserve">wo SRS resource sets with </w:t>
            </w:r>
            <w:r>
              <w:rPr>
                <w:rFonts w:hint="default" w:ascii="Times New Roman" w:hAnsi="Times New Roman" w:eastAsia="宋体" w:cs="Times New Roman"/>
                <w:i/>
                <w:iCs/>
                <w:color w:val="FF0000"/>
                <w:sz w:val="20"/>
                <w:szCs w:val="20"/>
                <w:highlight w:val="none"/>
                <w:lang w:eastAsia="ja-JP"/>
              </w:rPr>
              <w:t xml:space="preserve">resourceType </w:t>
            </w:r>
            <w:r>
              <w:rPr>
                <w:rFonts w:hint="default" w:ascii="Times New Roman" w:hAnsi="Times New Roman" w:eastAsia="宋体" w:cs="Times New Roman"/>
                <w:color w:val="FF0000"/>
                <w:sz w:val="20"/>
                <w:szCs w:val="20"/>
                <w:highlight w:val="none"/>
                <w:lang w:eastAsia="ja-JP"/>
              </w:rPr>
              <w:t xml:space="preserve">in </w:t>
            </w:r>
            <w:r>
              <w:rPr>
                <w:rFonts w:hint="default" w:ascii="Times New Roman" w:hAnsi="Times New Roman" w:eastAsia="宋体" w:cs="Times New Roman"/>
                <w:i/>
                <w:iCs/>
                <w:color w:val="FF0000"/>
                <w:sz w:val="20"/>
                <w:szCs w:val="20"/>
                <w:highlight w:val="none"/>
                <w:lang w:eastAsia="ja-JP"/>
              </w:rPr>
              <w:t>SRS-ResourceSet</w:t>
            </w:r>
            <w:r>
              <w:rPr>
                <w:rFonts w:hint="default" w:ascii="Times New Roman" w:hAnsi="Times New Roman" w:eastAsia="宋体" w:cs="Times New Roman"/>
                <w:color w:val="FF0000"/>
                <w:sz w:val="20"/>
                <w:szCs w:val="20"/>
                <w:highlight w:val="none"/>
                <w:lang w:eastAsia="ja-JP"/>
              </w:rPr>
              <w:t xml:space="preserve"> set to ‘aperiodic’ and up to one SRS resource set with </w:t>
            </w:r>
            <w:r>
              <w:rPr>
                <w:rFonts w:hint="default" w:ascii="Times New Roman" w:hAnsi="Times New Roman" w:eastAsia="宋体" w:cs="Times New Roman"/>
                <w:i/>
                <w:iCs/>
                <w:color w:val="FF0000"/>
                <w:sz w:val="20"/>
                <w:szCs w:val="20"/>
                <w:highlight w:val="none"/>
                <w:lang w:eastAsia="ja-JP"/>
              </w:rPr>
              <w:t xml:space="preserve">resourceType </w:t>
            </w:r>
            <w:r>
              <w:rPr>
                <w:rFonts w:hint="default" w:ascii="Times New Roman" w:hAnsi="Times New Roman" w:eastAsia="宋体" w:cs="Times New Roman"/>
                <w:color w:val="FF0000"/>
                <w:sz w:val="20"/>
                <w:szCs w:val="20"/>
                <w:highlight w:val="none"/>
                <w:lang w:eastAsia="ja-JP"/>
              </w:rPr>
              <w:t xml:space="preserve">in </w:t>
            </w:r>
            <w:r>
              <w:rPr>
                <w:rFonts w:hint="default" w:ascii="Times New Roman" w:hAnsi="Times New Roman" w:eastAsia="宋体" w:cs="Times New Roman"/>
                <w:i/>
                <w:iCs/>
                <w:color w:val="FF0000"/>
                <w:sz w:val="20"/>
                <w:szCs w:val="20"/>
                <w:highlight w:val="none"/>
                <w:lang w:eastAsia="ja-JP"/>
              </w:rPr>
              <w:t>SRS-ResourceSet</w:t>
            </w:r>
            <w:r>
              <w:rPr>
                <w:rFonts w:hint="default" w:ascii="Times New Roman" w:hAnsi="Times New Roman" w:eastAsia="宋体" w:cs="Times New Roman"/>
                <w:color w:val="FF0000"/>
                <w:sz w:val="20"/>
                <w:szCs w:val="20"/>
                <w:highlight w:val="none"/>
                <w:lang w:eastAsia="ja-JP"/>
              </w:rPr>
              <w:t xml:space="preserve"> set to ‘periodic’ or ‘semi-persistent’ can be configured, or up to two SRS resource sets configured with a different value for the higher layer parameter </w:t>
            </w:r>
            <w:r>
              <w:rPr>
                <w:rFonts w:hint="default" w:ascii="Times New Roman" w:hAnsi="Times New Roman" w:eastAsia="宋体" w:cs="Times New Roman"/>
                <w:i/>
                <w:iCs/>
                <w:color w:val="FF0000"/>
                <w:sz w:val="20"/>
                <w:szCs w:val="20"/>
                <w:highlight w:val="none"/>
                <w:lang w:eastAsia="ja-JP"/>
              </w:rPr>
              <w:t xml:space="preserve">resourceType </w:t>
            </w:r>
            <w:r>
              <w:rPr>
                <w:rFonts w:hint="default" w:ascii="Times New Roman" w:hAnsi="Times New Roman" w:eastAsia="宋体" w:cs="Times New Roman"/>
                <w:color w:val="FF0000"/>
                <w:sz w:val="20"/>
                <w:szCs w:val="20"/>
                <w:highlight w:val="none"/>
                <w:lang w:eastAsia="ja-JP"/>
              </w:rPr>
              <w:t xml:space="preserve">in </w:t>
            </w:r>
            <w:r>
              <w:rPr>
                <w:rFonts w:hint="default" w:ascii="Times New Roman" w:hAnsi="Times New Roman" w:eastAsia="宋体" w:cs="Times New Roman"/>
                <w:i/>
                <w:iCs/>
                <w:color w:val="FF0000"/>
                <w:sz w:val="20"/>
                <w:szCs w:val="20"/>
                <w:highlight w:val="none"/>
                <w:lang w:eastAsia="ja-JP"/>
              </w:rPr>
              <w:t>SRS-ResourceSet</w:t>
            </w:r>
            <w:r>
              <w:rPr>
                <w:rFonts w:hint="default" w:ascii="Times New Roman" w:hAnsi="Times New Roman" w:eastAsia="宋体" w:cs="Times New Roman"/>
                <w:color w:val="FF0000"/>
                <w:sz w:val="20"/>
                <w:szCs w:val="20"/>
                <w:highlight w:val="none"/>
                <w:lang w:eastAsia="ja-JP"/>
              </w:rPr>
              <w:t xml:space="preserve"> can be configured.</w:t>
            </w:r>
            <w:r>
              <w:rPr>
                <w:rFonts w:hint="default" w:ascii="Times New Roman" w:hAnsi="Times New Roman" w:eastAsia="宋体" w:cs="Times New Roman"/>
                <w:color w:val="FF0000"/>
                <w:sz w:val="20"/>
                <w:szCs w:val="20"/>
                <w:highlight w:val="none"/>
                <w:lang w:val="en-US" w:eastAsia="zh-CN"/>
              </w:rPr>
              <w:t xml:space="preserve"> </w:t>
            </w:r>
            <w:r>
              <w:rPr>
                <w:rFonts w:hint="default" w:ascii="Times New Roman" w:hAnsi="Times New Roman" w:eastAsia="宋体" w:cs="Times New Roman"/>
                <w:color w:val="FF0000"/>
                <w:sz w:val="20"/>
                <w:szCs w:val="20"/>
                <w:highlight w:val="none"/>
              </w:rPr>
              <w:t xml:space="preserve">In the case of two resource sets with </w:t>
            </w:r>
            <w:r>
              <w:rPr>
                <w:rFonts w:hint="default" w:ascii="Times New Roman" w:hAnsi="Times New Roman" w:eastAsia="宋体" w:cs="Times New Roman"/>
                <w:i/>
                <w:iCs/>
                <w:color w:val="FF0000"/>
                <w:sz w:val="20"/>
                <w:szCs w:val="20"/>
                <w:highlight w:val="none"/>
              </w:rPr>
              <w:t xml:space="preserve">resourceType </w:t>
            </w:r>
            <w:r>
              <w:rPr>
                <w:rFonts w:hint="default" w:ascii="Times New Roman" w:hAnsi="Times New Roman" w:eastAsia="宋体" w:cs="Times New Roman"/>
                <w:color w:val="FF0000"/>
                <w:sz w:val="20"/>
                <w:szCs w:val="20"/>
                <w:highlight w:val="none"/>
              </w:rPr>
              <w:t xml:space="preserve">in </w:t>
            </w:r>
            <w:r>
              <w:rPr>
                <w:rFonts w:hint="default" w:ascii="Times New Roman" w:hAnsi="Times New Roman" w:eastAsia="宋体" w:cs="Times New Roman"/>
                <w:i/>
                <w:iCs/>
                <w:color w:val="FF0000"/>
                <w:sz w:val="20"/>
                <w:szCs w:val="20"/>
                <w:highlight w:val="none"/>
              </w:rPr>
              <w:t>SRS-ResourceSet</w:t>
            </w:r>
            <w:r>
              <w:rPr>
                <w:rFonts w:hint="default" w:ascii="Times New Roman" w:hAnsi="Times New Roman" w:eastAsia="宋体" w:cs="Times New Roman"/>
                <w:color w:val="FF0000"/>
                <w:sz w:val="20"/>
                <w:szCs w:val="20"/>
                <w:highlight w:val="none"/>
              </w:rPr>
              <w:t xml:space="preserve"> set to ‘aperiodic’, a total of two SRS resources transmitted in different symbols of two different slots, and where the SRS port pair of each SRS resource in the given two sets is associated with a different UE antenna port pair and the two sets are each configured with one SRS resource.</w:t>
            </w:r>
            <w:r>
              <w:rPr>
                <w:rFonts w:hint="default" w:ascii="Times New Roman" w:hAnsi="Times New Roman" w:eastAsia="宋体" w:cs="Times New Roman"/>
                <w:color w:val="FF0000"/>
                <w:sz w:val="20"/>
                <w:szCs w:val="20"/>
                <w:highlight w:val="none"/>
                <w:lang w:val="en-US" w:eastAsia="zh-CN"/>
              </w:rPr>
              <w:t xml:space="preserve"> I</w:t>
            </w:r>
            <w:r>
              <w:rPr>
                <w:rFonts w:hint="default" w:ascii="Times New Roman" w:hAnsi="Times New Roman" w:cs="Times New Roman"/>
                <w:color w:val="FF0000"/>
                <w:sz w:val="20"/>
                <w:szCs w:val="20"/>
                <w:highlight w:val="none"/>
              </w:rPr>
              <w:t>n the case of one resource set</w:t>
            </w:r>
            <w:r>
              <w:rPr>
                <w:rFonts w:hint="default" w:ascii="Times New Roman" w:hAnsi="Times New Roman" w:cs="Times New Roman"/>
                <w:color w:val="FF0000"/>
                <w:sz w:val="20"/>
                <w:szCs w:val="20"/>
                <w:highlight w:val="none"/>
                <w:lang w:val="en-US" w:eastAsia="zh-CN"/>
              </w:rPr>
              <w:t xml:space="preserve"> </w:t>
            </w:r>
            <w:r>
              <w:rPr>
                <w:rFonts w:hint="default" w:ascii="Times New Roman" w:hAnsi="Times New Roman" w:eastAsia="宋体" w:cs="Times New Roman"/>
                <w:color w:val="FF0000"/>
                <w:sz w:val="20"/>
                <w:szCs w:val="20"/>
                <w:highlight w:val="none"/>
                <w:lang w:val="en-US" w:eastAsia="zh-CN"/>
              </w:rPr>
              <w:t>with</w:t>
            </w:r>
            <w:r>
              <w:rPr>
                <w:rFonts w:hint="default" w:ascii="Times New Roman" w:hAnsi="Times New Roman" w:cs="Times New Roman"/>
                <w:color w:val="FF0000"/>
                <w:sz w:val="20"/>
                <w:szCs w:val="20"/>
                <w:highlight w:val="none"/>
              </w:rPr>
              <w:t xml:space="preserve"> </w:t>
            </w:r>
            <w:r>
              <w:rPr>
                <w:rFonts w:hint="default" w:ascii="Times New Roman" w:hAnsi="Times New Roman" w:cs="Times New Roman"/>
                <w:i/>
                <w:iCs/>
                <w:color w:val="FF0000"/>
                <w:sz w:val="20"/>
                <w:szCs w:val="20"/>
                <w:highlight w:val="none"/>
              </w:rPr>
              <w:t>resourceType</w:t>
            </w:r>
            <w:r>
              <w:rPr>
                <w:rFonts w:hint="default" w:ascii="Times New Roman" w:hAnsi="Times New Roman" w:cs="Times New Roman"/>
                <w:color w:val="FF0000"/>
                <w:sz w:val="20"/>
                <w:szCs w:val="20"/>
                <w:highlight w:val="none"/>
              </w:rPr>
              <w:t xml:space="preserve"> in </w:t>
            </w:r>
            <w:r>
              <w:rPr>
                <w:rFonts w:hint="default" w:ascii="Times New Roman" w:hAnsi="Times New Roman" w:cs="Times New Roman"/>
                <w:i/>
                <w:iCs/>
                <w:color w:val="FF0000"/>
                <w:sz w:val="20"/>
                <w:szCs w:val="20"/>
                <w:highlight w:val="none"/>
              </w:rPr>
              <w:t>SRS-ResourceSet</w:t>
            </w:r>
            <w:r>
              <w:rPr>
                <w:rFonts w:hint="default" w:ascii="Times New Roman" w:hAnsi="Times New Roman" w:cs="Times New Roman"/>
                <w:color w:val="FF0000"/>
                <w:sz w:val="20"/>
                <w:szCs w:val="20"/>
                <w:highlight w:val="none"/>
              </w:rPr>
              <w:t xml:space="preserve"> set to '</w:t>
            </w:r>
            <w:r>
              <w:rPr>
                <w:rFonts w:hint="default" w:ascii="Times New Roman" w:hAnsi="Times New Roman" w:eastAsia="宋体" w:cs="Times New Roman"/>
                <w:color w:val="FF0000"/>
                <w:sz w:val="20"/>
                <w:szCs w:val="20"/>
                <w:highlight w:val="none"/>
                <w:lang w:val="en-US" w:eastAsia="zh-CN"/>
              </w:rPr>
              <w:t>a</w:t>
            </w:r>
            <w:r>
              <w:rPr>
                <w:rFonts w:hint="default" w:ascii="Times New Roman" w:hAnsi="Times New Roman" w:cs="Times New Roman"/>
                <w:color w:val="FF0000"/>
                <w:sz w:val="20"/>
                <w:szCs w:val="20"/>
                <w:highlight w:val="none"/>
              </w:rPr>
              <w:t xml:space="preserve">periodic' </w:t>
            </w:r>
            <w:r>
              <w:rPr>
                <w:rFonts w:hint="default" w:ascii="Times New Roman" w:hAnsi="Times New Roman" w:eastAsia="宋体" w:cs="Times New Roman"/>
                <w:color w:val="FF0000"/>
                <w:sz w:val="20"/>
                <w:szCs w:val="20"/>
                <w:highlight w:val="none"/>
                <w:lang w:val="en-US" w:eastAsia="zh-CN"/>
              </w:rPr>
              <w:t>is configured</w:t>
            </w:r>
            <w:r>
              <w:rPr>
                <w:rFonts w:hint="default" w:ascii="Times New Roman" w:hAnsi="Times New Roman" w:cs="Times New Roman"/>
                <w:color w:val="FF0000"/>
                <w:sz w:val="20"/>
                <w:szCs w:val="20"/>
                <w:highlight w:val="none"/>
              </w:rPr>
              <w:t xml:space="preserve">,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w:t>
            </w:r>
            <w:r>
              <w:rPr>
                <w:rFonts w:hint="default" w:ascii="Times New Roman" w:hAnsi="Times New Roman" w:cs="Times New Roman"/>
                <w:color w:val="FF0000"/>
                <w:sz w:val="20"/>
                <w:szCs w:val="20"/>
                <w:highlight w:val="none"/>
                <w:lang w:val="en-US" w:eastAsia="zh-CN"/>
              </w:rPr>
              <w:t>E</w:t>
            </w:r>
            <w:r>
              <w:rPr>
                <w:rFonts w:hint="default" w:ascii="Times New Roman" w:hAnsi="Times New Roman" w:eastAsia="等线" w:cs="Times New Roman"/>
                <w:color w:val="FF0000"/>
                <w:sz w:val="20"/>
                <w:szCs w:val="20"/>
                <w:highlight w:val="none"/>
                <w:lang w:val="en-US" w:eastAsia="zh-CN"/>
              </w:rPr>
              <w:t>ach</w:t>
            </w:r>
            <w:r>
              <w:rPr>
                <w:rFonts w:hint="default" w:ascii="Times New Roman" w:hAnsi="Times New Roman" w:cs="Times New Roman"/>
                <w:color w:val="FF0000"/>
                <w:sz w:val="20"/>
                <w:szCs w:val="20"/>
                <w:highlight w:val="none"/>
              </w:rPr>
              <w:t xml:space="preserve"> SRS resource set</w:t>
            </w:r>
            <w:r>
              <w:rPr>
                <w:rFonts w:hint="default" w:ascii="Times New Roman" w:hAnsi="Times New Roman" w:eastAsia="等线" w:cs="Times New Roman"/>
                <w:color w:val="FF0000"/>
                <w:sz w:val="20"/>
                <w:szCs w:val="20"/>
                <w:highlight w:val="none"/>
                <w:lang w:val="en-US" w:eastAsia="zh-CN"/>
              </w:rPr>
              <w:t xml:space="preserve"> with </w:t>
            </w:r>
            <w:r>
              <w:rPr>
                <w:rFonts w:hint="default" w:ascii="Times New Roman" w:hAnsi="Times New Roman" w:cs="Times New Roman"/>
                <w:color w:val="FF0000"/>
                <w:sz w:val="20"/>
                <w:szCs w:val="20"/>
                <w:highlight w:val="none"/>
                <w:lang w:val="en-US" w:eastAsia="zh-CN"/>
              </w:rPr>
              <w:t>‘</w:t>
            </w:r>
            <w:r>
              <w:rPr>
                <w:rFonts w:hint="default" w:ascii="Times New Roman" w:hAnsi="Times New Roman" w:cs="Times New Roman"/>
                <w:i w:val="0"/>
                <w:iCs w:val="0"/>
                <w:color w:val="FF0000"/>
                <w:sz w:val="20"/>
                <w:szCs w:val="20"/>
                <w:highlight w:val="none"/>
              </w:rPr>
              <w:t>resourceType</w:t>
            </w:r>
            <w:r>
              <w:rPr>
                <w:rFonts w:hint="default" w:ascii="Times New Roman" w:hAnsi="Times New Roman" w:cs="Times New Roman"/>
                <w:i w:val="0"/>
                <w:iCs w:val="0"/>
                <w:color w:val="FF0000"/>
                <w:sz w:val="20"/>
                <w:szCs w:val="20"/>
                <w:highlight w:val="none"/>
                <w:lang w:val="en-US" w:eastAsia="zh-CN"/>
              </w:rPr>
              <w:t>’</w:t>
            </w:r>
            <w:r>
              <w:rPr>
                <w:rFonts w:hint="default" w:ascii="Times New Roman" w:hAnsi="Times New Roman" w:cs="Times New Roman"/>
                <w:color w:val="FF0000"/>
                <w:sz w:val="20"/>
                <w:szCs w:val="20"/>
                <w:highlight w:val="none"/>
              </w:rPr>
              <w:t xml:space="preserve"> in </w:t>
            </w:r>
            <w:r>
              <w:rPr>
                <w:rFonts w:hint="default" w:ascii="Times New Roman" w:hAnsi="Times New Roman" w:cs="Times New Roman"/>
                <w:i/>
                <w:iCs/>
                <w:color w:val="FF0000"/>
                <w:sz w:val="20"/>
                <w:szCs w:val="20"/>
                <w:highlight w:val="none"/>
              </w:rPr>
              <w:t xml:space="preserve">SRS-ResourceSet </w:t>
            </w:r>
            <w:r>
              <w:rPr>
                <w:rFonts w:hint="default" w:ascii="Times New Roman" w:hAnsi="Times New Roman" w:cs="Times New Roman"/>
                <w:color w:val="FF0000"/>
                <w:sz w:val="20"/>
                <w:szCs w:val="20"/>
                <w:highlight w:val="none"/>
              </w:rPr>
              <w:t xml:space="preserve">set to 'periodic' or 'semi-persistent' </w:t>
            </w:r>
            <w:r>
              <w:rPr>
                <w:rFonts w:hint="default" w:ascii="Times New Roman" w:hAnsi="Times New Roman" w:cs="Times New Roman"/>
                <w:color w:val="FF0000"/>
                <w:sz w:val="20"/>
                <w:szCs w:val="20"/>
                <w:highlight w:val="none"/>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Pr>
                <w:rFonts w:hint="default" w:ascii="Times New Roman" w:hAnsi="Times New Roman" w:cs="Times New Roman"/>
                <w:color w:val="FF0000"/>
                <w:sz w:val="20"/>
                <w:szCs w:val="20"/>
                <w:highlight w:val="none"/>
                <w:lang w:val="en-US" w:eastAsia="zh-CN"/>
              </w:rPr>
              <w:t>.</w:t>
            </w:r>
          </w:p>
          <w:p>
            <w:pPr>
              <w:pStyle w:val="84"/>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zero or one or two </w:t>
            </w:r>
            <w:r>
              <w:rPr>
                <w:rFonts w:hint="default" w:ascii="Times New Roman" w:hAnsi="Times New Roman" w:cs="Times New Roman"/>
                <w:sz w:val="20"/>
                <w:szCs w:val="20"/>
                <w:lang w:eastAsia="ja-JP"/>
              </w:rPr>
              <w:t xml:space="preserve">SRS resource sets configured with a different value for the higher layer parameter </w:t>
            </w:r>
            <w:r>
              <w:rPr>
                <w:rFonts w:hint="default" w:ascii="Times New Roman" w:hAnsi="Times New Roman" w:cs="Times New Roman"/>
                <w:i/>
                <w:sz w:val="20"/>
                <w:szCs w:val="20"/>
                <w:lang w:eastAsia="ja-JP"/>
              </w:rPr>
              <w:t>resourceType</w:t>
            </w:r>
            <w:r>
              <w:rPr>
                <w:rFonts w:hint="default" w:ascii="Times New Roman" w:hAnsi="Times New Roman" w:cs="Times New Roman"/>
                <w:sz w:val="20"/>
                <w:szCs w:val="20"/>
                <w:lang w:eastAsia="ja-JP"/>
              </w:rPr>
              <w:t xml:space="preserve"> in </w:t>
            </w:r>
            <w:r>
              <w:rPr>
                <w:rFonts w:hint="default" w:ascii="Times New Roman" w:hAnsi="Times New Roman" w:cs="Times New Roman"/>
                <w:i/>
                <w:sz w:val="20"/>
                <w:szCs w:val="20"/>
                <w:lang w:eastAsia="ja-JP"/>
              </w:rPr>
              <w:t>SRS-ResourceSet</w:t>
            </w:r>
            <w:r>
              <w:rPr>
                <w:rFonts w:hint="default" w:ascii="Times New Roman" w:hAnsi="Times New Roman" w:cs="Times New Roman"/>
                <w:sz w:val="20"/>
                <w:szCs w:val="20"/>
                <w:lang w:eastAsia="ja-JP"/>
              </w:rPr>
              <w:t xml:space="preserve"> set to 'periodic' or 'semi-persistent' if the UE is not indicating a capability for [maximum 2 semi-persistent and maximum 1 periodic SRS resource sets], or up to two SRS resource sets configured with </w:t>
            </w:r>
            <w:r>
              <w:rPr>
                <w:rFonts w:hint="default" w:ascii="Times New Roman" w:hAnsi="Times New Roman" w:cs="Times New Roman"/>
                <w:i/>
                <w:sz w:val="20"/>
                <w:szCs w:val="20"/>
                <w:lang w:eastAsia="ja-JP"/>
              </w:rPr>
              <w:t>resourceType</w:t>
            </w:r>
            <w:r>
              <w:rPr>
                <w:rFonts w:hint="default" w:ascii="Times New Roman" w:hAnsi="Times New Roman" w:cs="Times New Roman"/>
                <w:sz w:val="20"/>
                <w:szCs w:val="20"/>
                <w:lang w:eastAsia="ja-JP"/>
              </w:rPr>
              <w:t xml:space="preserve"> in </w:t>
            </w:r>
            <w:r>
              <w:rPr>
                <w:rFonts w:hint="default" w:ascii="Times New Roman" w:hAnsi="Times New Roman" w:cs="Times New Roman"/>
                <w:i/>
                <w:sz w:val="20"/>
                <w:szCs w:val="20"/>
                <w:lang w:eastAsia="ja-JP"/>
              </w:rPr>
              <w:t>SRS-ResourceSet</w:t>
            </w:r>
            <w:r>
              <w:rPr>
                <w:rFonts w:hint="default" w:ascii="Times New Roman" w:hAnsi="Times New Roman" w:cs="Times New Roman"/>
                <w:sz w:val="20"/>
                <w:szCs w:val="20"/>
                <w:lang w:eastAsia="ja-JP"/>
              </w:rPr>
              <w:t xml:space="preserve"> set to 'semi-persistent' and up to one SRS resource set configured with </w:t>
            </w:r>
            <w:r>
              <w:rPr>
                <w:rFonts w:hint="default" w:ascii="Times New Roman" w:hAnsi="Times New Roman" w:cs="Times New Roman"/>
                <w:i/>
                <w:sz w:val="20"/>
                <w:szCs w:val="20"/>
                <w:lang w:eastAsia="ja-JP"/>
              </w:rPr>
              <w:t>resourceType</w:t>
            </w:r>
            <w:r>
              <w:rPr>
                <w:rFonts w:hint="default" w:ascii="Times New Roman" w:hAnsi="Times New Roman" w:cs="Times New Roman"/>
                <w:sz w:val="20"/>
                <w:szCs w:val="20"/>
                <w:lang w:eastAsia="ja-JP"/>
              </w:rPr>
              <w:t xml:space="preserve"> in </w:t>
            </w:r>
            <w:r>
              <w:rPr>
                <w:rFonts w:hint="default" w:ascii="Times New Roman" w:hAnsi="Times New Roman" w:cs="Times New Roman"/>
                <w:i/>
                <w:sz w:val="20"/>
                <w:szCs w:val="20"/>
                <w:lang w:eastAsia="ja-JP"/>
              </w:rPr>
              <w:t>SRS-ResourceSet</w:t>
            </w:r>
            <w:r>
              <w:rPr>
                <w:rFonts w:hint="default" w:ascii="Times New Roman" w:hAnsi="Times New Roman" w:cs="Times New Roman"/>
                <w:sz w:val="20"/>
                <w:szCs w:val="20"/>
                <w:lang w:eastAsia="ja-JP"/>
              </w:rPr>
              <w:t xml:space="preserve"> set to 'periodic' if the UE is indicating a capability for [maximum 2 semi-persistent and maximum 1 periodic SRS resource sets], where the two SRS resource sets configured with 'semi-persistent' are not activated at the same time.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and, </w:t>
            </w:r>
          </w:p>
          <w:p>
            <w:pPr>
              <w:pStyle w:val="84"/>
              <w:rPr>
                <w:rFonts w:hint="default" w:ascii="Times New Roman" w:hAnsi="Times New Roman" w:cs="Times New Roman"/>
                <w:color w:val="FF0000"/>
                <w:sz w:val="20"/>
                <w:szCs w:val="20"/>
                <w:highlight w:val="none"/>
                <w:lang w:val="en-US"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zero or one SRS resource set configured with </w:t>
            </w:r>
            <w:r>
              <w:rPr>
                <w:rFonts w:hint="default" w:ascii="Times New Roman" w:hAnsi="Times New Roman" w:cs="Times New Roman"/>
                <w:i/>
                <w:sz w:val="20"/>
                <w:szCs w:val="20"/>
              </w:rPr>
              <w:t>resourceType</w:t>
            </w:r>
            <w:r>
              <w:rPr>
                <w:rFonts w:hint="default" w:ascii="Times New Roman" w:hAnsi="Times New Roman" w:cs="Times New Roman"/>
                <w:sz w:val="20"/>
                <w:szCs w:val="20"/>
              </w:rPr>
              <w:t xml:space="preserve"> in </w:t>
            </w:r>
            <w:r>
              <w:rPr>
                <w:rFonts w:hint="default" w:ascii="Times New Roman" w:hAnsi="Times New Roman" w:cs="Times New Roman"/>
                <w:i/>
                <w:sz w:val="20"/>
                <w:szCs w:val="20"/>
              </w:rPr>
              <w:t>SRS-ResourceSet</w:t>
            </w:r>
            <w:r>
              <w:rPr>
                <w:rFonts w:hint="default" w:ascii="Times New Roman" w:hAnsi="Times New Roman" w:cs="Times New Roman"/>
                <w:sz w:val="20"/>
                <w:szCs w:val="20"/>
              </w:rPr>
              <w:t xml:space="preserve"> set to 'aperiodic' if the UE is not indicating a capability for [extension of aperiodic antenna switching SRS configuration], or up to two SRS resource sets configured with </w:t>
            </w:r>
            <w:r>
              <w:rPr>
                <w:rFonts w:hint="default" w:ascii="Times New Roman" w:hAnsi="Times New Roman" w:cs="Times New Roman"/>
                <w:i/>
                <w:sz w:val="20"/>
                <w:szCs w:val="20"/>
              </w:rPr>
              <w:t>resourceType</w:t>
            </w:r>
            <w:r>
              <w:rPr>
                <w:rFonts w:hint="default" w:ascii="Times New Roman" w:hAnsi="Times New Roman" w:cs="Times New Roman"/>
                <w:sz w:val="20"/>
                <w:szCs w:val="20"/>
              </w:rPr>
              <w:t xml:space="preserve"> in </w:t>
            </w:r>
            <w:r>
              <w:rPr>
                <w:rFonts w:hint="default" w:ascii="Times New Roman" w:hAnsi="Times New Roman" w:cs="Times New Roman"/>
                <w:i/>
                <w:sz w:val="20"/>
                <w:szCs w:val="20"/>
              </w:rPr>
              <w:t>SRS-ResourceSet</w:t>
            </w:r>
            <w:r>
              <w:rPr>
                <w:rFonts w:hint="default" w:ascii="Times New Roman" w:hAnsi="Times New Roman" w:cs="Times New Roman"/>
                <w:sz w:val="20"/>
                <w:szCs w:val="20"/>
              </w:rPr>
              <w:t xml:space="preserve"> set to 'aperiodic' if the UE is indicating a capability for [extension of aperiodic antenna switching SRS configuration], where in the case of one resource set,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In the case of two resource sets, a total of two SRS resources transmitted in different symbols of two different slots, and where the SRS port pair of each SRS resource in the given two sets is associated with a different UE antenna port pair. The two sets are each configured with one SRS resource, or</w:t>
            </w:r>
          </w:p>
          <w:p>
            <w:pPr>
              <w:pStyle w:val="104"/>
              <w:rPr>
                <w:rFonts w:eastAsiaTheme="minorEastAsia"/>
                <w:sz w:val="20"/>
                <w:szCs w:val="20"/>
                <w:highlight w:val="none"/>
                <w:lang w:val="en-US" w:eastAsia="zh-CN"/>
              </w:rPr>
            </w:pPr>
            <w:r>
              <w:rPr>
                <w:rFonts w:eastAsiaTheme="minorEastAsia"/>
                <w:sz w:val="20"/>
                <w:szCs w:val="20"/>
                <w:highlight w:val="none"/>
                <w:lang w:val="en-US" w:eastAsia="zh-CN"/>
              </w:rPr>
              <w:t>&lt;Unrelated part omitted&gt;</w:t>
            </w:r>
          </w:p>
          <w:p>
            <w:pPr>
              <w:pStyle w:val="104"/>
              <w:jc w:val="center"/>
              <w:rPr>
                <w:color w:val="3333FF"/>
                <w:sz w:val="18"/>
                <w:szCs w:val="18"/>
                <w:lang w:val="en-GB" w:eastAsia="zh-CN"/>
              </w:rPr>
            </w:pPr>
            <w:r>
              <w:rPr>
                <w:rFonts w:eastAsiaTheme="minorEastAsia"/>
                <w:color w:val="FF0000"/>
                <w:sz w:val="20"/>
                <w:szCs w:val="20"/>
                <w:lang w:val="en-US" w:eastAsia="zh-CN"/>
              </w:rPr>
              <w:t>&lt;End of TP for TS38.214&gt;</w:t>
            </w:r>
          </w:p>
        </w:tc>
      </w:tr>
    </w:tbl>
    <w:p>
      <w:pPr>
        <w:bidi w:val="0"/>
      </w:pPr>
      <w:bookmarkStart w:id="2" w:name="_GoBack"/>
      <w:bookmarkEnd w:id="2"/>
    </w:p>
    <w:p>
      <w:pPr>
        <w:pStyle w:val="2"/>
        <w:numPr>
          <w:ilvl w:val="0"/>
          <w:numId w:val="0"/>
        </w:numPr>
      </w:pPr>
      <w:r>
        <w:t>References</w:t>
      </w:r>
    </w:p>
    <w:p>
      <w:pPr>
        <w:numPr>
          <w:ilvl w:val="0"/>
          <w:numId w:val="9"/>
        </w:numPr>
        <w:bidi w:val="0"/>
        <w:rPr>
          <w:rFonts w:hint="default" w:eastAsia="等线"/>
          <w:sz w:val="20"/>
          <w:szCs w:val="20"/>
          <w:lang w:val="en-US" w:eastAsia="zh-CN"/>
        </w:rPr>
      </w:pPr>
      <w:r>
        <w:rPr>
          <w:rFonts w:hint="eastAsia"/>
          <w:sz w:val="20"/>
          <w:szCs w:val="20"/>
          <w:lang w:val="en-US" w:eastAsia="zh-CN"/>
        </w:rPr>
        <w:t>R1-2205472 Moderator summary #3 for Maintenance on Rel-17 SRS, Moderator (ZTE)</w:t>
      </w:r>
    </w:p>
    <w:sectPr>
      <w:pgSz w:w="12240" w:h="15840"/>
      <w:pgMar w:top="1152" w:right="1152" w:bottom="1152" w:left="1152" w:header="720" w:footer="720" w:gutter="0"/>
      <w:cols w:space="720" w:num="1"/>
      <w:docGrid w:type="lines" w:linePitch="36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
    <w:altName w:val="Segoe Print"/>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swiss"/>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93495D"/>
    <w:multiLevelType w:val="singleLevel"/>
    <w:tmpl w:val="DD93495D"/>
    <w:lvl w:ilvl="0" w:tentative="0">
      <w:start w:val="1"/>
      <w:numFmt w:val="decimal"/>
      <w:suff w:val="space"/>
      <w:lvlText w:val="[%1]"/>
      <w:lvlJc w:val="left"/>
    </w:lvl>
  </w:abstractNum>
  <w:abstractNum w:abstractNumId="1">
    <w:nsid w:val="00000005"/>
    <w:multiLevelType w:val="multilevel"/>
    <w:tmpl w:val="00000005"/>
    <w:lvl w:ilvl="0" w:tentative="0">
      <w:start w:val="1"/>
      <w:numFmt w:val="decimal"/>
      <w:pStyle w:val="44"/>
      <w:lvlText w:val="Proposal %1:"/>
      <w:lvlJc w:val="left"/>
      <w:pPr>
        <w:ind w:left="420" w:hanging="420"/>
      </w:pPr>
      <w:rPr>
        <w:b/>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000007"/>
    <w:multiLevelType w:val="multilevel"/>
    <w:tmpl w:val="00000007"/>
    <w:lvl w:ilvl="0" w:tentative="0">
      <w:start w:val="1"/>
      <w:numFmt w:val="bullet"/>
      <w:pStyle w:val="49"/>
      <w:lvlText w:val=""/>
      <w:lvlJc w:val="left"/>
      <w:pPr>
        <w:ind w:left="420" w:hanging="420"/>
      </w:pPr>
      <w:rPr>
        <w:rFonts w:ascii="Symbol" w:hAnsi="Symbol"/>
      </w:rPr>
    </w:lvl>
    <w:lvl w:ilvl="1" w:tentative="0">
      <w:start w:val="1"/>
      <w:numFmt w:val="bullet"/>
      <w:lvlText w:val="-"/>
      <w:lvlJc w:val="left"/>
      <w:pPr>
        <w:ind w:left="840" w:hanging="420"/>
      </w:pPr>
      <w:rPr>
        <w:rFonts w:ascii="Times New Roman" w:hAnsi="Times New Roman" w:cs="Times New Roman"/>
      </w:rPr>
    </w:lvl>
    <w:lvl w:ilvl="2" w:tentative="0">
      <w:start w:val="1"/>
      <w:numFmt w:val="bullet"/>
      <w:lvlText w:val=""/>
      <w:lvlJc w:val="left"/>
      <w:pPr>
        <w:ind w:left="1260" w:hanging="420"/>
      </w:pPr>
      <w:rPr>
        <w:rFonts w:ascii="Wingdings" w:hAnsi="Wingdings"/>
      </w:rPr>
    </w:lvl>
    <w:lvl w:ilvl="3" w:tentative="0">
      <w:start w:val="1"/>
      <w:numFmt w:val="bullet"/>
      <w:lvlText w:val=""/>
      <w:lvlJc w:val="left"/>
      <w:pPr>
        <w:ind w:left="1680" w:hanging="420"/>
      </w:pPr>
      <w:rPr>
        <w:rFonts w:ascii="Wingdings" w:hAnsi="Wingdings"/>
      </w:rPr>
    </w:lvl>
    <w:lvl w:ilvl="4" w:tentative="0">
      <w:start w:val="1"/>
      <w:numFmt w:val="bullet"/>
      <w:lvlText w:val=""/>
      <w:lvlJc w:val="left"/>
      <w:pPr>
        <w:ind w:left="2100" w:hanging="420"/>
      </w:pPr>
      <w:rPr>
        <w:rFonts w:ascii="Wingdings" w:hAnsi="Wingdings"/>
      </w:rPr>
    </w:lvl>
    <w:lvl w:ilvl="5" w:tentative="0">
      <w:start w:val="1"/>
      <w:numFmt w:val="bullet"/>
      <w:lvlText w:val=""/>
      <w:lvlJc w:val="left"/>
      <w:pPr>
        <w:ind w:left="2520" w:hanging="420"/>
      </w:pPr>
      <w:rPr>
        <w:rFonts w:ascii="Wingdings" w:hAnsi="Wingdings"/>
      </w:rPr>
    </w:lvl>
    <w:lvl w:ilvl="6" w:tentative="0">
      <w:start w:val="1"/>
      <w:numFmt w:val="bullet"/>
      <w:lvlText w:val=""/>
      <w:lvlJc w:val="left"/>
      <w:pPr>
        <w:ind w:left="2940" w:hanging="420"/>
      </w:pPr>
      <w:rPr>
        <w:rFonts w:ascii="Wingdings" w:hAnsi="Wingdings"/>
      </w:rPr>
    </w:lvl>
    <w:lvl w:ilvl="7" w:tentative="0">
      <w:start w:val="1"/>
      <w:numFmt w:val="bullet"/>
      <w:lvlText w:val=""/>
      <w:lvlJc w:val="left"/>
      <w:pPr>
        <w:ind w:left="3360" w:hanging="420"/>
      </w:pPr>
      <w:rPr>
        <w:rFonts w:ascii="Wingdings" w:hAnsi="Wingdings"/>
      </w:rPr>
    </w:lvl>
    <w:lvl w:ilvl="8" w:tentative="0">
      <w:start w:val="1"/>
      <w:numFmt w:val="bullet"/>
      <w:lvlText w:val=""/>
      <w:lvlJc w:val="left"/>
      <w:pPr>
        <w:ind w:left="3780" w:hanging="420"/>
      </w:pPr>
      <w:rPr>
        <w:rFonts w:ascii="Wingdings" w:hAnsi="Wingdings"/>
      </w:rPr>
    </w:lvl>
  </w:abstractNum>
  <w:abstractNum w:abstractNumId="3">
    <w:nsid w:val="00000014"/>
    <w:multiLevelType w:val="multilevel"/>
    <w:tmpl w:val="00000014"/>
    <w:lvl w:ilvl="0" w:tentative="0">
      <w:start w:val="1"/>
      <w:numFmt w:val="decimal"/>
      <w:pStyle w:val="64"/>
      <w:lvlText w:val="Proposal %1"/>
      <w:lvlJc w:val="left"/>
      <w:pPr>
        <w:ind w:left="1304" w:hanging="1304"/>
      </w:pPr>
    </w:lvl>
    <w:lvl w:ilvl="1" w:tentative="0">
      <w:start w:val="1"/>
      <w:numFmt w:val="bullet"/>
      <w:lvlText w:val="•"/>
      <w:lvlJc w:val="left"/>
      <w:pPr>
        <w:ind w:left="1480" w:hanging="400"/>
      </w:pPr>
      <w:rPr>
        <w:rFonts w:ascii="Calibri" w:hAnsi="Calibri" w:eastAsia="Times New Roman" w:cs="Calibri"/>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00000029"/>
    <w:multiLevelType w:val="multilevel"/>
    <w:tmpl w:val="0000002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0000002D"/>
    <w:multiLevelType w:val="multilevel"/>
    <w:tmpl w:val="0000002D"/>
    <w:lvl w:ilvl="0" w:tentative="0">
      <w:start w:val="1"/>
      <w:numFmt w:val="decimal"/>
      <w:pStyle w:val="2"/>
      <w:lvlText w:val="%1"/>
      <w:lvlJc w:val="left"/>
      <w:pPr>
        <w:ind w:left="800" w:hanging="400"/>
      </w:pPr>
    </w:lvl>
    <w:lvl w:ilvl="1" w:tentative="0">
      <w:start w:val="1"/>
      <w:numFmt w:val="none"/>
      <w:lvlText w:val="%2"/>
      <w:lvlJc w:val="left"/>
    </w:lvl>
    <w:lvl w:ilvl="2" w:tentative="0">
      <w:start w:val="1"/>
      <w:numFmt w:val="none"/>
      <w:lvlText w:val="%3"/>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6">
    <w:nsid w:val="02B46033"/>
    <w:multiLevelType w:val="multilevel"/>
    <w:tmpl w:val="02B46033"/>
    <w:lvl w:ilvl="0" w:tentative="0">
      <w:start w:val="1"/>
      <w:numFmt w:val="decimal"/>
      <w:pStyle w:val="82"/>
      <w:lvlText w:val="Table %1"/>
      <w:lvlJc w:val="left"/>
      <w:pPr>
        <w:ind w:left="420" w:hanging="420"/>
      </w:pPr>
      <w:rPr>
        <w:rFonts w:hint="default" w:ascii="Times New Roman" w:hAnsi="Times New Roman" w:cs="Times New Roman"/>
        <w:b w:val="0"/>
        <w:bCs w:val="0"/>
        <w:i w:val="0"/>
        <w:iCs w:val="0"/>
        <w:caps w:val="0"/>
        <w:smallCaps w:val="0"/>
        <w:strike w:val="0"/>
        <w:dstrike w:val="0"/>
        <w:vanish w:val="0"/>
        <w:color w:val="000000"/>
        <w:spacing w:val="0"/>
        <w:kern w:val="0"/>
        <w:position w:val="0"/>
        <w:sz w:val="18"/>
        <w:szCs w:val="1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A877D64"/>
    <w:multiLevelType w:val="singleLevel"/>
    <w:tmpl w:val="3A877D64"/>
    <w:lvl w:ilvl="0" w:tentative="0">
      <w:start w:val="1"/>
      <w:numFmt w:val="decimal"/>
      <w:pStyle w:val="102"/>
      <w:lvlText w:val="[%1]"/>
      <w:lvlJc w:val="left"/>
      <w:pPr>
        <w:tabs>
          <w:tab w:val="left" w:pos="360"/>
        </w:tabs>
        <w:ind w:left="360" w:hanging="360"/>
      </w:pPr>
    </w:lvl>
  </w:abstractNum>
  <w:abstractNum w:abstractNumId="8">
    <w:nsid w:val="70146DC0"/>
    <w:multiLevelType w:val="multilevel"/>
    <w:tmpl w:val="70146DC0"/>
    <w:lvl w:ilvl="0" w:tentative="0">
      <w:start w:val="1"/>
      <w:numFmt w:val="bullet"/>
      <w:pStyle w:val="9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1"/>
  </w:num>
  <w:num w:numId="3">
    <w:abstractNumId w:val="2"/>
  </w:num>
  <w:num w:numId="4">
    <w:abstractNumId w:val="3"/>
  </w:num>
  <w:num w:numId="5">
    <w:abstractNumId w:val="6"/>
  </w:num>
  <w:num w:numId="6">
    <w:abstractNumId w:val="8"/>
  </w:num>
  <w:num w:numId="7">
    <w:abstractNumId w:val="7"/>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FC5"/>
    <w:rsid w:val="00000706"/>
    <w:rsid w:val="00000736"/>
    <w:rsid w:val="00000F9F"/>
    <w:rsid w:val="00001E9A"/>
    <w:rsid w:val="00002AC3"/>
    <w:rsid w:val="000031EA"/>
    <w:rsid w:val="00004866"/>
    <w:rsid w:val="000052BA"/>
    <w:rsid w:val="0000580B"/>
    <w:rsid w:val="00006513"/>
    <w:rsid w:val="00010654"/>
    <w:rsid w:val="000119BF"/>
    <w:rsid w:val="00013F55"/>
    <w:rsid w:val="00014998"/>
    <w:rsid w:val="00014F34"/>
    <w:rsid w:val="00015488"/>
    <w:rsid w:val="00015993"/>
    <w:rsid w:val="00017763"/>
    <w:rsid w:val="00020CCE"/>
    <w:rsid w:val="00021115"/>
    <w:rsid w:val="00023A26"/>
    <w:rsid w:val="00023C80"/>
    <w:rsid w:val="0002557F"/>
    <w:rsid w:val="0003060C"/>
    <w:rsid w:val="00031729"/>
    <w:rsid w:val="0003223A"/>
    <w:rsid w:val="000343FA"/>
    <w:rsid w:val="00034E7E"/>
    <w:rsid w:val="000368EC"/>
    <w:rsid w:val="00041130"/>
    <w:rsid w:val="00041AFA"/>
    <w:rsid w:val="00042AB6"/>
    <w:rsid w:val="000449B3"/>
    <w:rsid w:val="000450C0"/>
    <w:rsid w:val="0004560C"/>
    <w:rsid w:val="00046126"/>
    <w:rsid w:val="00046D56"/>
    <w:rsid w:val="00047431"/>
    <w:rsid w:val="000476F7"/>
    <w:rsid w:val="00051095"/>
    <w:rsid w:val="00051549"/>
    <w:rsid w:val="000526C0"/>
    <w:rsid w:val="000526E7"/>
    <w:rsid w:val="000540A2"/>
    <w:rsid w:val="000542C1"/>
    <w:rsid w:val="00054EC6"/>
    <w:rsid w:val="0005517F"/>
    <w:rsid w:val="000557E8"/>
    <w:rsid w:val="000560A5"/>
    <w:rsid w:val="00056783"/>
    <w:rsid w:val="00056F8D"/>
    <w:rsid w:val="0005703A"/>
    <w:rsid w:val="00060555"/>
    <w:rsid w:val="000619AA"/>
    <w:rsid w:val="00063A09"/>
    <w:rsid w:val="00063E9F"/>
    <w:rsid w:val="00064DB9"/>
    <w:rsid w:val="0006514E"/>
    <w:rsid w:val="00067B57"/>
    <w:rsid w:val="00071B96"/>
    <w:rsid w:val="000721BA"/>
    <w:rsid w:val="00074511"/>
    <w:rsid w:val="00075C7D"/>
    <w:rsid w:val="000762B5"/>
    <w:rsid w:val="000770E8"/>
    <w:rsid w:val="00080482"/>
    <w:rsid w:val="00081D85"/>
    <w:rsid w:val="000835B4"/>
    <w:rsid w:val="000845F2"/>
    <w:rsid w:val="00084EA4"/>
    <w:rsid w:val="000877CF"/>
    <w:rsid w:val="00087941"/>
    <w:rsid w:val="000879E1"/>
    <w:rsid w:val="00087C81"/>
    <w:rsid w:val="00090157"/>
    <w:rsid w:val="00091292"/>
    <w:rsid w:val="00091D52"/>
    <w:rsid w:val="00091EBA"/>
    <w:rsid w:val="00093D8E"/>
    <w:rsid w:val="00094046"/>
    <w:rsid w:val="00095724"/>
    <w:rsid w:val="00097AC1"/>
    <w:rsid w:val="000A0613"/>
    <w:rsid w:val="000A12F2"/>
    <w:rsid w:val="000A144C"/>
    <w:rsid w:val="000A1574"/>
    <w:rsid w:val="000A18EB"/>
    <w:rsid w:val="000A1F6D"/>
    <w:rsid w:val="000A5A76"/>
    <w:rsid w:val="000A601C"/>
    <w:rsid w:val="000B18AC"/>
    <w:rsid w:val="000B22FF"/>
    <w:rsid w:val="000B300F"/>
    <w:rsid w:val="000B33FC"/>
    <w:rsid w:val="000B491B"/>
    <w:rsid w:val="000B5A90"/>
    <w:rsid w:val="000B5FB4"/>
    <w:rsid w:val="000B7A7A"/>
    <w:rsid w:val="000B7F5E"/>
    <w:rsid w:val="000C018C"/>
    <w:rsid w:val="000C0AE9"/>
    <w:rsid w:val="000C13D4"/>
    <w:rsid w:val="000C17C6"/>
    <w:rsid w:val="000C2EB4"/>
    <w:rsid w:val="000C3AF6"/>
    <w:rsid w:val="000C575B"/>
    <w:rsid w:val="000C6A45"/>
    <w:rsid w:val="000C77D9"/>
    <w:rsid w:val="000D0394"/>
    <w:rsid w:val="000D1C81"/>
    <w:rsid w:val="000D212C"/>
    <w:rsid w:val="000D23B7"/>
    <w:rsid w:val="000D247D"/>
    <w:rsid w:val="000D3C80"/>
    <w:rsid w:val="000D3EA6"/>
    <w:rsid w:val="000D41CD"/>
    <w:rsid w:val="000D4564"/>
    <w:rsid w:val="000D4D9D"/>
    <w:rsid w:val="000D5943"/>
    <w:rsid w:val="000D5BB9"/>
    <w:rsid w:val="000D648F"/>
    <w:rsid w:val="000D72C3"/>
    <w:rsid w:val="000D794F"/>
    <w:rsid w:val="000D7DC6"/>
    <w:rsid w:val="000D7EA5"/>
    <w:rsid w:val="000D7F29"/>
    <w:rsid w:val="000E1B0B"/>
    <w:rsid w:val="000E2794"/>
    <w:rsid w:val="000E2B61"/>
    <w:rsid w:val="000E364D"/>
    <w:rsid w:val="000E52C2"/>
    <w:rsid w:val="000E5ACC"/>
    <w:rsid w:val="000E6108"/>
    <w:rsid w:val="000E7287"/>
    <w:rsid w:val="000F08C9"/>
    <w:rsid w:val="000F0FDD"/>
    <w:rsid w:val="000F1703"/>
    <w:rsid w:val="000F2251"/>
    <w:rsid w:val="000F3F2A"/>
    <w:rsid w:val="000F3F7D"/>
    <w:rsid w:val="0010042E"/>
    <w:rsid w:val="00100859"/>
    <w:rsid w:val="00103B1B"/>
    <w:rsid w:val="0010453F"/>
    <w:rsid w:val="00104683"/>
    <w:rsid w:val="001051AE"/>
    <w:rsid w:val="00105FA1"/>
    <w:rsid w:val="00106521"/>
    <w:rsid w:val="00106BD0"/>
    <w:rsid w:val="00113ACB"/>
    <w:rsid w:val="001151F4"/>
    <w:rsid w:val="00115BFB"/>
    <w:rsid w:val="00115C14"/>
    <w:rsid w:val="00115D5E"/>
    <w:rsid w:val="0011734E"/>
    <w:rsid w:val="00117846"/>
    <w:rsid w:val="00117AD3"/>
    <w:rsid w:val="00120380"/>
    <w:rsid w:val="0012295C"/>
    <w:rsid w:val="001232F1"/>
    <w:rsid w:val="00123597"/>
    <w:rsid w:val="001237D9"/>
    <w:rsid w:val="0012580C"/>
    <w:rsid w:val="0012608B"/>
    <w:rsid w:val="00127BF3"/>
    <w:rsid w:val="00127F58"/>
    <w:rsid w:val="00130C51"/>
    <w:rsid w:val="00131A2E"/>
    <w:rsid w:val="001328FF"/>
    <w:rsid w:val="001339D0"/>
    <w:rsid w:val="00133D99"/>
    <w:rsid w:val="00133FAA"/>
    <w:rsid w:val="00135F50"/>
    <w:rsid w:val="0013622B"/>
    <w:rsid w:val="001369CF"/>
    <w:rsid w:val="00137EEA"/>
    <w:rsid w:val="00140009"/>
    <w:rsid w:val="00140340"/>
    <w:rsid w:val="00140E93"/>
    <w:rsid w:val="00141341"/>
    <w:rsid w:val="00141555"/>
    <w:rsid w:val="001419EF"/>
    <w:rsid w:val="00141CAE"/>
    <w:rsid w:val="00143DEA"/>
    <w:rsid w:val="001441EF"/>
    <w:rsid w:val="00144EBF"/>
    <w:rsid w:val="001453E4"/>
    <w:rsid w:val="00145661"/>
    <w:rsid w:val="00145FAB"/>
    <w:rsid w:val="001465C3"/>
    <w:rsid w:val="00146981"/>
    <w:rsid w:val="00146D76"/>
    <w:rsid w:val="0015138C"/>
    <w:rsid w:val="00151927"/>
    <w:rsid w:val="00151FB4"/>
    <w:rsid w:val="00152FFC"/>
    <w:rsid w:val="001536E3"/>
    <w:rsid w:val="00157332"/>
    <w:rsid w:val="001579F2"/>
    <w:rsid w:val="00157C57"/>
    <w:rsid w:val="001616D4"/>
    <w:rsid w:val="00161818"/>
    <w:rsid w:val="00161B78"/>
    <w:rsid w:val="00162D8B"/>
    <w:rsid w:val="001630B7"/>
    <w:rsid w:val="001637F4"/>
    <w:rsid w:val="00166639"/>
    <w:rsid w:val="00166D5C"/>
    <w:rsid w:val="001670EE"/>
    <w:rsid w:val="00171F76"/>
    <w:rsid w:val="00172EBA"/>
    <w:rsid w:val="00173C2E"/>
    <w:rsid w:val="00174C4B"/>
    <w:rsid w:val="00174C75"/>
    <w:rsid w:val="0017564D"/>
    <w:rsid w:val="00175BD9"/>
    <w:rsid w:val="001762C7"/>
    <w:rsid w:val="00181578"/>
    <w:rsid w:val="00181907"/>
    <w:rsid w:val="00182549"/>
    <w:rsid w:val="001828D7"/>
    <w:rsid w:val="00182E7D"/>
    <w:rsid w:val="001832D4"/>
    <w:rsid w:val="00183D3B"/>
    <w:rsid w:val="0018598E"/>
    <w:rsid w:val="00185AF4"/>
    <w:rsid w:val="00186188"/>
    <w:rsid w:val="0018672E"/>
    <w:rsid w:val="00187E07"/>
    <w:rsid w:val="0019169D"/>
    <w:rsid w:val="0019305E"/>
    <w:rsid w:val="00193D08"/>
    <w:rsid w:val="00193F6A"/>
    <w:rsid w:val="00195F89"/>
    <w:rsid w:val="00196D51"/>
    <w:rsid w:val="00197CB8"/>
    <w:rsid w:val="001A0F33"/>
    <w:rsid w:val="001A1BF2"/>
    <w:rsid w:val="001A1F4D"/>
    <w:rsid w:val="001A358D"/>
    <w:rsid w:val="001A391D"/>
    <w:rsid w:val="001A5859"/>
    <w:rsid w:val="001A6D1C"/>
    <w:rsid w:val="001A7712"/>
    <w:rsid w:val="001A7787"/>
    <w:rsid w:val="001B3F8B"/>
    <w:rsid w:val="001B5253"/>
    <w:rsid w:val="001B53D7"/>
    <w:rsid w:val="001B54F0"/>
    <w:rsid w:val="001B650D"/>
    <w:rsid w:val="001B657C"/>
    <w:rsid w:val="001B66F0"/>
    <w:rsid w:val="001C0641"/>
    <w:rsid w:val="001C0A19"/>
    <w:rsid w:val="001C0EAB"/>
    <w:rsid w:val="001C0F81"/>
    <w:rsid w:val="001C2799"/>
    <w:rsid w:val="001C38D0"/>
    <w:rsid w:val="001C53AB"/>
    <w:rsid w:val="001C569A"/>
    <w:rsid w:val="001C678E"/>
    <w:rsid w:val="001C70E1"/>
    <w:rsid w:val="001C7CAB"/>
    <w:rsid w:val="001C7F44"/>
    <w:rsid w:val="001D0036"/>
    <w:rsid w:val="001D0179"/>
    <w:rsid w:val="001D0222"/>
    <w:rsid w:val="001D1516"/>
    <w:rsid w:val="001D1683"/>
    <w:rsid w:val="001D21FA"/>
    <w:rsid w:val="001D3B46"/>
    <w:rsid w:val="001D4C92"/>
    <w:rsid w:val="001D4FFD"/>
    <w:rsid w:val="001D54EF"/>
    <w:rsid w:val="001D5818"/>
    <w:rsid w:val="001D5907"/>
    <w:rsid w:val="001D5BF3"/>
    <w:rsid w:val="001D65A6"/>
    <w:rsid w:val="001D765A"/>
    <w:rsid w:val="001D7A50"/>
    <w:rsid w:val="001D7FF2"/>
    <w:rsid w:val="001E0673"/>
    <w:rsid w:val="001E193B"/>
    <w:rsid w:val="001E2070"/>
    <w:rsid w:val="001E2B27"/>
    <w:rsid w:val="001E4381"/>
    <w:rsid w:val="001E5351"/>
    <w:rsid w:val="001E5B67"/>
    <w:rsid w:val="001E6B8F"/>
    <w:rsid w:val="001E7163"/>
    <w:rsid w:val="001F1A0E"/>
    <w:rsid w:val="001F241A"/>
    <w:rsid w:val="001F3A20"/>
    <w:rsid w:val="001F459B"/>
    <w:rsid w:val="001F466F"/>
    <w:rsid w:val="001F479E"/>
    <w:rsid w:val="001F574A"/>
    <w:rsid w:val="001F60B8"/>
    <w:rsid w:val="001F6E59"/>
    <w:rsid w:val="001F7807"/>
    <w:rsid w:val="00200008"/>
    <w:rsid w:val="00200CCB"/>
    <w:rsid w:val="00202335"/>
    <w:rsid w:val="002027BC"/>
    <w:rsid w:val="00206E50"/>
    <w:rsid w:val="00207125"/>
    <w:rsid w:val="00207590"/>
    <w:rsid w:val="00207EFE"/>
    <w:rsid w:val="002117E7"/>
    <w:rsid w:val="00211F27"/>
    <w:rsid w:val="00212822"/>
    <w:rsid w:val="00213B61"/>
    <w:rsid w:val="00215E90"/>
    <w:rsid w:val="002161F2"/>
    <w:rsid w:val="00220B5A"/>
    <w:rsid w:val="00221D92"/>
    <w:rsid w:val="002236E4"/>
    <w:rsid w:val="00223867"/>
    <w:rsid w:val="00223B2B"/>
    <w:rsid w:val="00223E00"/>
    <w:rsid w:val="00223E84"/>
    <w:rsid w:val="0022402A"/>
    <w:rsid w:val="002242F0"/>
    <w:rsid w:val="002244C5"/>
    <w:rsid w:val="00224FF0"/>
    <w:rsid w:val="0022615E"/>
    <w:rsid w:val="00227CD5"/>
    <w:rsid w:val="0023110A"/>
    <w:rsid w:val="0023118B"/>
    <w:rsid w:val="00231411"/>
    <w:rsid w:val="00233592"/>
    <w:rsid w:val="00234564"/>
    <w:rsid w:val="00234A14"/>
    <w:rsid w:val="0023502A"/>
    <w:rsid w:val="00235CF4"/>
    <w:rsid w:val="00235FF0"/>
    <w:rsid w:val="002367FC"/>
    <w:rsid w:val="00236D06"/>
    <w:rsid w:val="00237223"/>
    <w:rsid w:val="0023780D"/>
    <w:rsid w:val="00241766"/>
    <w:rsid w:val="002419F0"/>
    <w:rsid w:val="00241D49"/>
    <w:rsid w:val="00242738"/>
    <w:rsid w:val="00242AFE"/>
    <w:rsid w:val="002441FD"/>
    <w:rsid w:val="002450AC"/>
    <w:rsid w:val="00245791"/>
    <w:rsid w:val="00245C0C"/>
    <w:rsid w:val="0025040E"/>
    <w:rsid w:val="00251738"/>
    <w:rsid w:val="00251E17"/>
    <w:rsid w:val="00253484"/>
    <w:rsid w:val="00253856"/>
    <w:rsid w:val="00253DFA"/>
    <w:rsid w:val="00253FF7"/>
    <w:rsid w:val="00255FC9"/>
    <w:rsid w:val="00256DAD"/>
    <w:rsid w:val="00257557"/>
    <w:rsid w:val="00257CC3"/>
    <w:rsid w:val="00260272"/>
    <w:rsid w:val="00260FA1"/>
    <w:rsid w:val="00261220"/>
    <w:rsid w:val="00261307"/>
    <w:rsid w:val="0026176A"/>
    <w:rsid w:val="0026302F"/>
    <w:rsid w:val="00263D6A"/>
    <w:rsid w:val="00264351"/>
    <w:rsid w:val="00264361"/>
    <w:rsid w:val="0026460D"/>
    <w:rsid w:val="0026514C"/>
    <w:rsid w:val="00266129"/>
    <w:rsid w:val="00266150"/>
    <w:rsid w:val="002663DB"/>
    <w:rsid w:val="00266A54"/>
    <w:rsid w:val="0026752B"/>
    <w:rsid w:val="00267B6D"/>
    <w:rsid w:val="00267EAC"/>
    <w:rsid w:val="00267FCE"/>
    <w:rsid w:val="00272B22"/>
    <w:rsid w:val="00272E79"/>
    <w:rsid w:val="00273157"/>
    <w:rsid w:val="00274042"/>
    <w:rsid w:val="002747AF"/>
    <w:rsid w:val="002751CF"/>
    <w:rsid w:val="002764CB"/>
    <w:rsid w:val="00276FC9"/>
    <w:rsid w:val="002770FC"/>
    <w:rsid w:val="0027767A"/>
    <w:rsid w:val="002802DB"/>
    <w:rsid w:val="00280505"/>
    <w:rsid w:val="0028076F"/>
    <w:rsid w:val="002808FC"/>
    <w:rsid w:val="00280A25"/>
    <w:rsid w:val="00282AB3"/>
    <w:rsid w:val="00282D47"/>
    <w:rsid w:val="00283702"/>
    <w:rsid w:val="00283C8C"/>
    <w:rsid w:val="0028480D"/>
    <w:rsid w:val="00284F0D"/>
    <w:rsid w:val="0028622B"/>
    <w:rsid w:val="0028647E"/>
    <w:rsid w:val="00286C6A"/>
    <w:rsid w:val="00286D01"/>
    <w:rsid w:val="0029009E"/>
    <w:rsid w:val="002915B4"/>
    <w:rsid w:val="00291B8B"/>
    <w:rsid w:val="00292C69"/>
    <w:rsid w:val="002948C1"/>
    <w:rsid w:val="00294DFF"/>
    <w:rsid w:val="00297399"/>
    <w:rsid w:val="0029781E"/>
    <w:rsid w:val="00297886"/>
    <w:rsid w:val="002A01D2"/>
    <w:rsid w:val="002A0B09"/>
    <w:rsid w:val="002A1119"/>
    <w:rsid w:val="002A175D"/>
    <w:rsid w:val="002A2BFE"/>
    <w:rsid w:val="002A4128"/>
    <w:rsid w:val="002A4254"/>
    <w:rsid w:val="002A431D"/>
    <w:rsid w:val="002A44B9"/>
    <w:rsid w:val="002A71A4"/>
    <w:rsid w:val="002B0825"/>
    <w:rsid w:val="002B16AE"/>
    <w:rsid w:val="002B2816"/>
    <w:rsid w:val="002B5ABC"/>
    <w:rsid w:val="002B7AA7"/>
    <w:rsid w:val="002B7F70"/>
    <w:rsid w:val="002C0829"/>
    <w:rsid w:val="002C0E8A"/>
    <w:rsid w:val="002C1EEC"/>
    <w:rsid w:val="002C255E"/>
    <w:rsid w:val="002C310A"/>
    <w:rsid w:val="002C36BC"/>
    <w:rsid w:val="002C4DAC"/>
    <w:rsid w:val="002C53CF"/>
    <w:rsid w:val="002C77AA"/>
    <w:rsid w:val="002C7C3C"/>
    <w:rsid w:val="002D0769"/>
    <w:rsid w:val="002D0FBB"/>
    <w:rsid w:val="002D2C3D"/>
    <w:rsid w:val="002D2F74"/>
    <w:rsid w:val="002D38F8"/>
    <w:rsid w:val="002D41DE"/>
    <w:rsid w:val="002D440A"/>
    <w:rsid w:val="002D46ED"/>
    <w:rsid w:val="002D52B9"/>
    <w:rsid w:val="002D54BE"/>
    <w:rsid w:val="002D5777"/>
    <w:rsid w:val="002D6D17"/>
    <w:rsid w:val="002D78F6"/>
    <w:rsid w:val="002D7B8A"/>
    <w:rsid w:val="002D7E27"/>
    <w:rsid w:val="002E030B"/>
    <w:rsid w:val="002E04EB"/>
    <w:rsid w:val="002E0FEC"/>
    <w:rsid w:val="002E214B"/>
    <w:rsid w:val="002E34DB"/>
    <w:rsid w:val="002E4383"/>
    <w:rsid w:val="002E4574"/>
    <w:rsid w:val="002E4B30"/>
    <w:rsid w:val="002E790F"/>
    <w:rsid w:val="002F014B"/>
    <w:rsid w:val="002F0154"/>
    <w:rsid w:val="002F0771"/>
    <w:rsid w:val="002F0D9A"/>
    <w:rsid w:val="002F1936"/>
    <w:rsid w:val="002F1D39"/>
    <w:rsid w:val="002F212A"/>
    <w:rsid w:val="002F2DE8"/>
    <w:rsid w:val="002F4B0D"/>
    <w:rsid w:val="002F715F"/>
    <w:rsid w:val="002F719C"/>
    <w:rsid w:val="002F72AF"/>
    <w:rsid w:val="002F75B1"/>
    <w:rsid w:val="002F7D3A"/>
    <w:rsid w:val="002F7E5F"/>
    <w:rsid w:val="00301311"/>
    <w:rsid w:val="003024DD"/>
    <w:rsid w:val="00302FEF"/>
    <w:rsid w:val="003038ED"/>
    <w:rsid w:val="003043C2"/>
    <w:rsid w:val="00304C1D"/>
    <w:rsid w:val="003067E5"/>
    <w:rsid w:val="00306A72"/>
    <w:rsid w:val="00310269"/>
    <w:rsid w:val="00310E83"/>
    <w:rsid w:val="00311112"/>
    <w:rsid w:val="00313C74"/>
    <w:rsid w:val="00313CEF"/>
    <w:rsid w:val="0031491E"/>
    <w:rsid w:val="00314CAC"/>
    <w:rsid w:val="00315CCE"/>
    <w:rsid w:val="00315E6A"/>
    <w:rsid w:val="0031614B"/>
    <w:rsid w:val="00316771"/>
    <w:rsid w:val="003172F0"/>
    <w:rsid w:val="003177DB"/>
    <w:rsid w:val="00317BC9"/>
    <w:rsid w:val="00322B58"/>
    <w:rsid w:val="00322DF7"/>
    <w:rsid w:val="00322EBC"/>
    <w:rsid w:val="00324D15"/>
    <w:rsid w:val="0032767E"/>
    <w:rsid w:val="0033098B"/>
    <w:rsid w:val="003309A2"/>
    <w:rsid w:val="0033284C"/>
    <w:rsid w:val="00334125"/>
    <w:rsid w:val="00335125"/>
    <w:rsid w:val="00337067"/>
    <w:rsid w:val="00337837"/>
    <w:rsid w:val="00340819"/>
    <w:rsid w:val="003416D2"/>
    <w:rsid w:val="00343F07"/>
    <w:rsid w:val="00344810"/>
    <w:rsid w:val="00344ADC"/>
    <w:rsid w:val="00345E97"/>
    <w:rsid w:val="003478A4"/>
    <w:rsid w:val="00347E8D"/>
    <w:rsid w:val="00347F50"/>
    <w:rsid w:val="003503E6"/>
    <w:rsid w:val="00350DD6"/>
    <w:rsid w:val="0035130B"/>
    <w:rsid w:val="00351419"/>
    <w:rsid w:val="00352D58"/>
    <w:rsid w:val="003554AD"/>
    <w:rsid w:val="00356E16"/>
    <w:rsid w:val="0035737E"/>
    <w:rsid w:val="0035775D"/>
    <w:rsid w:val="00357BFE"/>
    <w:rsid w:val="00360897"/>
    <w:rsid w:val="00360CB1"/>
    <w:rsid w:val="00360D96"/>
    <w:rsid w:val="00362469"/>
    <w:rsid w:val="00363361"/>
    <w:rsid w:val="00363B65"/>
    <w:rsid w:val="003644AA"/>
    <w:rsid w:val="00364991"/>
    <w:rsid w:val="003654D2"/>
    <w:rsid w:val="0036679D"/>
    <w:rsid w:val="00366E32"/>
    <w:rsid w:val="00367934"/>
    <w:rsid w:val="00367C9E"/>
    <w:rsid w:val="0037359D"/>
    <w:rsid w:val="00374325"/>
    <w:rsid w:val="003745D1"/>
    <w:rsid w:val="003747D4"/>
    <w:rsid w:val="00374ED9"/>
    <w:rsid w:val="003765F4"/>
    <w:rsid w:val="00376660"/>
    <w:rsid w:val="003771E5"/>
    <w:rsid w:val="00377C6C"/>
    <w:rsid w:val="00377D3B"/>
    <w:rsid w:val="00377EE3"/>
    <w:rsid w:val="0038048F"/>
    <w:rsid w:val="00380B0B"/>
    <w:rsid w:val="003811B5"/>
    <w:rsid w:val="0038133D"/>
    <w:rsid w:val="0038213E"/>
    <w:rsid w:val="00382238"/>
    <w:rsid w:val="003822E8"/>
    <w:rsid w:val="00382A3E"/>
    <w:rsid w:val="00383110"/>
    <w:rsid w:val="003833F7"/>
    <w:rsid w:val="003840FE"/>
    <w:rsid w:val="003878A1"/>
    <w:rsid w:val="00390634"/>
    <w:rsid w:val="00390FB3"/>
    <w:rsid w:val="0039186E"/>
    <w:rsid w:val="00391B52"/>
    <w:rsid w:val="00392F47"/>
    <w:rsid w:val="00393D55"/>
    <w:rsid w:val="00393E7A"/>
    <w:rsid w:val="00394C8F"/>
    <w:rsid w:val="00394E32"/>
    <w:rsid w:val="00394E8E"/>
    <w:rsid w:val="00395C90"/>
    <w:rsid w:val="00396F18"/>
    <w:rsid w:val="00396F9F"/>
    <w:rsid w:val="00397CB6"/>
    <w:rsid w:val="00397E05"/>
    <w:rsid w:val="00397FF1"/>
    <w:rsid w:val="003A05BB"/>
    <w:rsid w:val="003A0DB9"/>
    <w:rsid w:val="003A151B"/>
    <w:rsid w:val="003A17BD"/>
    <w:rsid w:val="003A1E0B"/>
    <w:rsid w:val="003A27E4"/>
    <w:rsid w:val="003A3315"/>
    <w:rsid w:val="003A4086"/>
    <w:rsid w:val="003A41E2"/>
    <w:rsid w:val="003A4259"/>
    <w:rsid w:val="003A56CB"/>
    <w:rsid w:val="003A5AE6"/>
    <w:rsid w:val="003A7FA5"/>
    <w:rsid w:val="003B1D75"/>
    <w:rsid w:val="003B22DE"/>
    <w:rsid w:val="003B2FC7"/>
    <w:rsid w:val="003B3130"/>
    <w:rsid w:val="003B3C4A"/>
    <w:rsid w:val="003B459D"/>
    <w:rsid w:val="003B476D"/>
    <w:rsid w:val="003B6639"/>
    <w:rsid w:val="003B6ED8"/>
    <w:rsid w:val="003B782E"/>
    <w:rsid w:val="003B7EEA"/>
    <w:rsid w:val="003C0030"/>
    <w:rsid w:val="003C13EC"/>
    <w:rsid w:val="003C1660"/>
    <w:rsid w:val="003C23F9"/>
    <w:rsid w:val="003C3737"/>
    <w:rsid w:val="003C51D3"/>
    <w:rsid w:val="003C5761"/>
    <w:rsid w:val="003C613E"/>
    <w:rsid w:val="003C7682"/>
    <w:rsid w:val="003D0D93"/>
    <w:rsid w:val="003D0EE9"/>
    <w:rsid w:val="003D1BFF"/>
    <w:rsid w:val="003D1EDC"/>
    <w:rsid w:val="003D23B2"/>
    <w:rsid w:val="003D28D3"/>
    <w:rsid w:val="003D475C"/>
    <w:rsid w:val="003D6196"/>
    <w:rsid w:val="003D6EFC"/>
    <w:rsid w:val="003D7A3B"/>
    <w:rsid w:val="003E2108"/>
    <w:rsid w:val="003E2BC2"/>
    <w:rsid w:val="003E3138"/>
    <w:rsid w:val="003E3D79"/>
    <w:rsid w:val="003E40B2"/>
    <w:rsid w:val="003E486C"/>
    <w:rsid w:val="003E5753"/>
    <w:rsid w:val="003E64A5"/>
    <w:rsid w:val="003E6A5B"/>
    <w:rsid w:val="003E724E"/>
    <w:rsid w:val="003E78F6"/>
    <w:rsid w:val="003F1A48"/>
    <w:rsid w:val="003F38E0"/>
    <w:rsid w:val="003F3D9C"/>
    <w:rsid w:val="003F4038"/>
    <w:rsid w:val="003F4E73"/>
    <w:rsid w:val="003F5046"/>
    <w:rsid w:val="003F66F4"/>
    <w:rsid w:val="003F73A3"/>
    <w:rsid w:val="004015D3"/>
    <w:rsid w:val="00401712"/>
    <w:rsid w:val="00402F34"/>
    <w:rsid w:val="004047C4"/>
    <w:rsid w:val="00405D3D"/>
    <w:rsid w:val="004069DE"/>
    <w:rsid w:val="0041055A"/>
    <w:rsid w:val="00412ED3"/>
    <w:rsid w:val="00413258"/>
    <w:rsid w:val="00413941"/>
    <w:rsid w:val="00413E49"/>
    <w:rsid w:val="00414175"/>
    <w:rsid w:val="00414970"/>
    <w:rsid w:val="00414D4E"/>
    <w:rsid w:val="00414FF7"/>
    <w:rsid w:val="004156DF"/>
    <w:rsid w:val="004162C8"/>
    <w:rsid w:val="00416D42"/>
    <w:rsid w:val="00416FB8"/>
    <w:rsid w:val="0042043E"/>
    <w:rsid w:val="00420D8E"/>
    <w:rsid w:val="00420EAD"/>
    <w:rsid w:val="004216BD"/>
    <w:rsid w:val="00421914"/>
    <w:rsid w:val="0042267B"/>
    <w:rsid w:val="004235F3"/>
    <w:rsid w:val="0042521A"/>
    <w:rsid w:val="00426142"/>
    <w:rsid w:val="004267D9"/>
    <w:rsid w:val="0042708C"/>
    <w:rsid w:val="004274FF"/>
    <w:rsid w:val="00431CE6"/>
    <w:rsid w:val="00436198"/>
    <w:rsid w:val="00437633"/>
    <w:rsid w:val="00437EF5"/>
    <w:rsid w:val="00440135"/>
    <w:rsid w:val="00440E7E"/>
    <w:rsid w:val="004415F8"/>
    <w:rsid w:val="00441DC3"/>
    <w:rsid w:val="0044257D"/>
    <w:rsid w:val="00445BF1"/>
    <w:rsid w:val="004461AA"/>
    <w:rsid w:val="004465E8"/>
    <w:rsid w:val="00447300"/>
    <w:rsid w:val="004477D5"/>
    <w:rsid w:val="00451B31"/>
    <w:rsid w:val="00451D87"/>
    <w:rsid w:val="0045213D"/>
    <w:rsid w:val="0045490E"/>
    <w:rsid w:val="0045608B"/>
    <w:rsid w:val="004562A0"/>
    <w:rsid w:val="00456BF9"/>
    <w:rsid w:val="00457882"/>
    <w:rsid w:val="00457CBF"/>
    <w:rsid w:val="00457F43"/>
    <w:rsid w:val="00460CCB"/>
    <w:rsid w:val="00461449"/>
    <w:rsid w:val="00461495"/>
    <w:rsid w:val="004617C7"/>
    <w:rsid w:val="0046317C"/>
    <w:rsid w:val="00463769"/>
    <w:rsid w:val="00464409"/>
    <w:rsid w:val="00464A63"/>
    <w:rsid w:val="00465305"/>
    <w:rsid w:val="00465895"/>
    <w:rsid w:val="004662E0"/>
    <w:rsid w:val="00466A38"/>
    <w:rsid w:val="00467151"/>
    <w:rsid w:val="004701FC"/>
    <w:rsid w:val="00470770"/>
    <w:rsid w:val="00470E10"/>
    <w:rsid w:val="00471131"/>
    <w:rsid w:val="0047244B"/>
    <w:rsid w:val="004736E2"/>
    <w:rsid w:val="004740F4"/>
    <w:rsid w:val="004741D4"/>
    <w:rsid w:val="004742EF"/>
    <w:rsid w:val="004745D9"/>
    <w:rsid w:val="0047511E"/>
    <w:rsid w:val="004766D7"/>
    <w:rsid w:val="00476C05"/>
    <w:rsid w:val="00477899"/>
    <w:rsid w:val="004779DE"/>
    <w:rsid w:val="00481CB1"/>
    <w:rsid w:val="004825EE"/>
    <w:rsid w:val="00482696"/>
    <w:rsid w:val="00482748"/>
    <w:rsid w:val="0048311F"/>
    <w:rsid w:val="0048331C"/>
    <w:rsid w:val="00483737"/>
    <w:rsid w:val="00483FEB"/>
    <w:rsid w:val="00485668"/>
    <w:rsid w:val="00485CB6"/>
    <w:rsid w:val="004861BB"/>
    <w:rsid w:val="00486C5E"/>
    <w:rsid w:val="00490070"/>
    <w:rsid w:val="0049038A"/>
    <w:rsid w:val="004903B0"/>
    <w:rsid w:val="00490617"/>
    <w:rsid w:val="00491B70"/>
    <w:rsid w:val="00491EBD"/>
    <w:rsid w:val="00492C8D"/>
    <w:rsid w:val="0049387F"/>
    <w:rsid w:val="00493ED3"/>
    <w:rsid w:val="00494728"/>
    <w:rsid w:val="00496D6C"/>
    <w:rsid w:val="00497409"/>
    <w:rsid w:val="00497564"/>
    <w:rsid w:val="004A012A"/>
    <w:rsid w:val="004A094D"/>
    <w:rsid w:val="004A178A"/>
    <w:rsid w:val="004A187E"/>
    <w:rsid w:val="004A2C4D"/>
    <w:rsid w:val="004A3BA8"/>
    <w:rsid w:val="004A3E40"/>
    <w:rsid w:val="004A4103"/>
    <w:rsid w:val="004A4AC4"/>
    <w:rsid w:val="004A51D3"/>
    <w:rsid w:val="004A5833"/>
    <w:rsid w:val="004A59CC"/>
    <w:rsid w:val="004A59E8"/>
    <w:rsid w:val="004A5AE4"/>
    <w:rsid w:val="004A72C1"/>
    <w:rsid w:val="004A7565"/>
    <w:rsid w:val="004B0312"/>
    <w:rsid w:val="004B035E"/>
    <w:rsid w:val="004B2114"/>
    <w:rsid w:val="004B29A8"/>
    <w:rsid w:val="004B2B68"/>
    <w:rsid w:val="004B3F2C"/>
    <w:rsid w:val="004B5130"/>
    <w:rsid w:val="004B580C"/>
    <w:rsid w:val="004B58A2"/>
    <w:rsid w:val="004B59DE"/>
    <w:rsid w:val="004B5CFE"/>
    <w:rsid w:val="004B67E1"/>
    <w:rsid w:val="004B7A41"/>
    <w:rsid w:val="004C16F4"/>
    <w:rsid w:val="004C23F2"/>
    <w:rsid w:val="004C26BA"/>
    <w:rsid w:val="004C414B"/>
    <w:rsid w:val="004C45FF"/>
    <w:rsid w:val="004C4942"/>
    <w:rsid w:val="004C4C6C"/>
    <w:rsid w:val="004C4F88"/>
    <w:rsid w:val="004C549F"/>
    <w:rsid w:val="004C5FF7"/>
    <w:rsid w:val="004D1C53"/>
    <w:rsid w:val="004D2922"/>
    <w:rsid w:val="004D2D83"/>
    <w:rsid w:val="004D4BDB"/>
    <w:rsid w:val="004D606C"/>
    <w:rsid w:val="004D6B8E"/>
    <w:rsid w:val="004D6ED9"/>
    <w:rsid w:val="004D6FB1"/>
    <w:rsid w:val="004D72D5"/>
    <w:rsid w:val="004D7CBE"/>
    <w:rsid w:val="004E146D"/>
    <w:rsid w:val="004E24DA"/>
    <w:rsid w:val="004E2DEF"/>
    <w:rsid w:val="004E45F6"/>
    <w:rsid w:val="004E4CC5"/>
    <w:rsid w:val="004E50A8"/>
    <w:rsid w:val="004E5397"/>
    <w:rsid w:val="004E5C92"/>
    <w:rsid w:val="004F1524"/>
    <w:rsid w:val="004F1BD4"/>
    <w:rsid w:val="004F2A12"/>
    <w:rsid w:val="004F3748"/>
    <w:rsid w:val="004F4018"/>
    <w:rsid w:val="004F4E12"/>
    <w:rsid w:val="004F59B5"/>
    <w:rsid w:val="004F5B24"/>
    <w:rsid w:val="004F63A6"/>
    <w:rsid w:val="005009A0"/>
    <w:rsid w:val="005031ED"/>
    <w:rsid w:val="005041F4"/>
    <w:rsid w:val="00505615"/>
    <w:rsid w:val="00505FBB"/>
    <w:rsid w:val="00506483"/>
    <w:rsid w:val="005070E3"/>
    <w:rsid w:val="0050741C"/>
    <w:rsid w:val="00507E3D"/>
    <w:rsid w:val="00510789"/>
    <w:rsid w:val="00510E4A"/>
    <w:rsid w:val="00512F9C"/>
    <w:rsid w:val="00514F7C"/>
    <w:rsid w:val="005158C4"/>
    <w:rsid w:val="00515DA8"/>
    <w:rsid w:val="005173F0"/>
    <w:rsid w:val="00517A0A"/>
    <w:rsid w:val="005207E1"/>
    <w:rsid w:val="00520A32"/>
    <w:rsid w:val="00520F5A"/>
    <w:rsid w:val="00521612"/>
    <w:rsid w:val="0052379C"/>
    <w:rsid w:val="00523A80"/>
    <w:rsid w:val="00523F3A"/>
    <w:rsid w:val="005245D2"/>
    <w:rsid w:val="00525254"/>
    <w:rsid w:val="00526540"/>
    <w:rsid w:val="00526ACC"/>
    <w:rsid w:val="00527E82"/>
    <w:rsid w:val="0053127A"/>
    <w:rsid w:val="00531E52"/>
    <w:rsid w:val="005339B3"/>
    <w:rsid w:val="0053414A"/>
    <w:rsid w:val="00534576"/>
    <w:rsid w:val="00535539"/>
    <w:rsid w:val="0053571A"/>
    <w:rsid w:val="00536FD4"/>
    <w:rsid w:val="00537102"/>
    <w:rsid w:val="005376BD"/>
    <w:rsid w:val="005405F8"/>
    <w:rsid w:val="00541252"/>
    <w:rsid w:val="00541C51"/>
    <w:rsid w:val="00543573"/>
    <w:rsid w:val="00544B4F"/>
    <w:rsid w:val="005459C2"/>
    <w:rsid w:val="00545AE3"/>
    <w:rsid w:val="00550165"/>
    <w:rsid w:val="00550C25"/>
    <w:rsid w:val="005511D3"/>
    <w:rsid w:val="0055247E"/>
    <w:rsid w:val="00554239"/>
    <w:rsid w:val="005606C5"/>
    <w:rsid w:val="005611BF"/>
    <w:rsid w:val="00562332"/>
    <w:rsid w:val="005642F4"/>
    <w:rsid w:val="00566A85"/>
    <w:rsid w:val="00573255"/>
    <w:rsid w:val="00573274"/>
    <w:rsid w:val="005737F2"/>
    <w:rsid w:val="005740E5"/>
    <w:rsid w:val="00581ED5"/>
    <w:rsid w:val="00582B49"/>
    <w:rsid w:val="005830C3"/>
    <w:rsid w:val="00583263"/>
    <w:rsid w:val="00584308"/>
    <w:rsid w:val="00584B9F"/>
    <w:rsid w:val="00585776"/>
    <w:rsid w:val="005859C3"/>
    <w:rsid w:val="005863C3"/>
    <w:rsid w:val="00586F46"/>
    <w:rsid w:val="00590B1F"/>
    <w:rsid w:val="0059138A"/>
    <w:rsid w:val="0059155B"/>
    <w:rsid w:val="00591EAB"/>
    <w:rsid w:val="00593975"/>
    <w:rsid w:val="00594D7A"/>
    <w:rsid w:val="00595341"/>
    <w:rsid w:val="005957C0"/>
    <w:rsid w:val="00596D58"/>
    <w:rsid w:val="00596F0E"/>
    <w:rsid w:val="00597E7F"/>
    <w:rsid w:val="005A00D6"/>
    <w:rsid w:val="005A0290"/>
    <w:rsid w:val="005A0EF3"/>
    <w:rsid w:val="005A11B9"/>
    <w:rsid w:val="005A1C03"/>
    <w:rsid w:val="005A1F78"/>
    <w:rsid w:val="005A227A"/>
    <w:rsid w:val="005A23E2"/>
    <w:rsid w:val="005A2A5B"/>
    <w:rsid w:val="005A301B"/>
    <w:rsid w:val="005A3204"/>
    <w:rsid w:val="005A37DA"/>
    <w:rsid w:val="005A3BB1"/>
    <w:rsid w:val="005A4847"/>
    <w:rsid w:val="005A4C7C"/>
    <w:rsid w:val="005A553E"/>
    <w:rsid w:val="005A6F9E"/>
    <w:rsid w:val="005B04F1"/>
    <w:rsid w:val="005B0713"/>
    <w:rsid w:val="005B13A1"/>
    <w:rsid w:val="005B1E48"/>
    <w:rsid w:val="005B26B5"/>
    <w:rsid w:val="005B2E46"/>
    <w:rsid w:val="005B3070"/>
    <w:rsid w:val="005B3277"/>
    <w:rsid w:val="005B3588"/>
    <w:rsid w:val="005B53EB"/>
    <w:rsid w:val="005B617F"/>
    <w:rsid w:val="005B61FA"/>
    <w:rsid w:val="005B709F"/>
    <w:rsid w:val="005B785A"/>
    <w:rsid w:val="005C006D"/>
    <w:rsid w:val="005C11BF"/>
    <w:rsid w:val="005C20DA"/>
    <w:rsid w:val="005C3275"/>
    <w:rsid w:val="005C428E"/>
    <w:rsid w:val="005C4BC3"/>
    <w:rsid w:val="005C4C0D"/>
    <w:rsid w:val="005C4D02"/>
    <w:rsid w:val="005C4E92"/>
    <w:rsid w:val="005C52C6"/>
    <w:rsid w:val="005C5976"/>
    <w:rsid w:val="005C72F1"/>
    <w:rsid w:val="005D1B9B"/>
    <w:rsid w:val="005D286D"/>
    <w:rsid w:val="005D3386"/>
    <w:rsid w:val="005D3ACE"/>
    <w:rsid w:val="005D3C0F"/>
    <w:rsid w:val="005D449B"/>
    <w:rsid w:val="005D463A"/>
    <w:rsid w:val="005D5086"/>
    <w:rsid w:val="005D5261"/>
    <w:rsid w:val="005D580E"/>
    <w:rsid w:val="005D61DF"/>
    <w:rsid w:val="005D6533"/>
    <w:rsid w:val="005D7939"/>
    <w:rsid w:val="005E116B"/>
    <w:rsid w:val="005E27E8"/>
    <w:rsid w:val="005E2B7B"/>
    <w:rsid w:val="005E2C31"/>
    <w:rsid w:val="005E2FD0"/>
    <w:rsid w:val="005E3AA9"/>
    <w:rsid w:val="005E49FF"/>
    <w:rsid w:val="005E4B3B"/>
    <w:rsid w:val="005E558A"/>
    <w:rsid w:val="005E6759"/>
    <w:rsid w:val="005E6BE3"/>
    <w:rsid w:val="005E6E1B"/>
    <w:rsid w:val="005E6FDA"/>
    <w:rsid w:val="005E786B"/>
    <w:rsid w:val="005F1008"/>
    <w:rsid w:val="005F1C2D"/>
    <w:rsid w:val="005F221A"/>
    <w:rsid w:val="005F3D5B"/>
    <w:rsid w:val="005F3E30"/>
    <w:rsid w:val="005F4307"/>
    <w:rsid w:val="005F4D30"/>
    <w:rsid w:val="005F52B4"/>
    <w:rsid w:val="005F5310"/>
    <w:rsid w:val="005F5B92"/>
    <w:rsid w:val="005F60FD"/>
    <w:rsid w:val="005F6657"/>
    <w:rsid w:val="006000F1"/>
    <w:rsid w:val="006011EF"/>
    <w:rsid w:val="00601B37"/>
    <w:rsid w:val="00602F97"/>
    <w:rsid w:val="0060301E"/>
    <w:rsid w:val="00604621"/>
    <w:rsid w:val="00604914"/>
    <w:rsid w:val="00604B95"/>
    <w:rsid w:val="00606740"/>
    <w:rsid w:val="00606857"/>
    <w:rsid w:val="00606D9F"/>
    <w:rsid w:val="006102AB"/>
    <w:rsid w:val="00610B90"/>
    <w:rsid w:val="00610E99"/>
    <w:rsid w:val="0061112A"/>
    <w:rsid w:val="00612591"/>
    <w:rsid w:val="00613471"/>
    <w:rsid w:val="00613919"/>
    <w:rsid w:val="00614284"/>
    <w:rsid w:val="006148E5"/>
    <w:rsid w:val="00614B9D"/>
    <w:rsid w:val="006150FB"/>
    <w:rsid w:val="00615565"/>
    <w:rsid w:val="006155EF"/>
    <w:rsid w:val="006159D4"/>
    <w:rsid w:val="00616358"/>
    <w:rsid w:val="00617252"/>
    <w:rsid w:val="006172E1"/>
    <w:rsid w:val="00617433"/>
    <w:rsid w:val="006202CE"/>
    <w:rsid w:val="00620C0B"/>
    <w:rsid w:val="00621A3A"/>
    <w:rsid w:val="006227A2"/>
    <w:rsid w:val="006238F2"/>
    <w:rsid w:val="006249A8"/>
    <w:rsid w:val="006250FB"/>
    <w:rsid w:val="00625C24"/>
    <w:rsid w:val="006262F6"/>
    <w:rsid w:val="006265DB"/>
    <w:rsid w:val="00627226"/>
    <w:rsid w:val="00627574"/>
    <w:rsid w:val="006279B8"/>
    <w:rsid w:val="006300AB"/>
    <w:rsid w:val="006309E1"/>
    <w:rsid w:val="00631138"/>
    <w:rsid w:val="0063310F"/>
    <w:rsid w:val="0063375D"/>
    <w:rsid w:val="00633B7A"/>
    <w:rsid w:val="00633E0A"/>
    <w:rsid w:val="0063418A"/>
    <w:rsid w:val="006344AA"/>
    <w:rsid w:val="00634B93"/>
    <w:rsid w:val="0063578E"/>
    <w:rsid w:val="00635BD5"/>
    <w:rsid w:val="00636401"/>
    <w:rsid w:val="00636B5F"/>
    <w:rsid w:val="00637871"/>
    <w:rsid w:val="00637BD6"/>
    <w:rsid w:val="00640884"/>
    <w:rsid w:val="006444C3"/>
    <w:rsid w:val="00644E6C"/>
    <w:rsid w:val="00645BC4"/>
    <w:rsid w:val="00646A29"/>
    <w:rsid w:val="006502C2"/>
    <w:rsid w:val="006507C3"/>
    <w:rsid w:val="00650FE4"/>
    <w:rsid w:val="006511AD"/>
    <w:rsid w:val="00653371"/>
    <w:rsid w:val="00654304"/>
    <w:rsid w:val="00654702"/>
    <w:rsid w:val="00656C13"/>
    <w:rsid w:val="0065701A"/>
    <w:rsid w:val="00660309"/>
    <w:rsid w:val="00660A13"/>
    <w:rsid w:val="00661F4D"/>
    <w:rsid w:val="0066446A"/>
    <w:rsid w:val="00664997"/>
    <w:rsid w:val="006669A1"/>
    <w:rsid w:val="00666A4B"/>
    <w:rsid w:val="0066780E"/>
    <w:rsid w:val="006716B8"/>
    <w:rsid w:val="00671874"/>
    <w:rsid w:val="00673CBA"/>
    <w:rsid w:val="006754FC"/>
    <w:rsid w:val="006773D0"/>
    <w:rsid w:val="00677F77"/>
    <w:rsid w:val="00680C64"/>
    <w:rsid w:val="00680DBC"/>
    <w:rsid w:val="006813F4"/>
    <w:rsid w:val="00681BBC"/>
    <w:rsid w:val="00683373"/>
    <w:rsid w:val="0068395D"/>
    <w:rsid w:val="0068412F"/>
    <w:rsid w:val="006861C5"/>
    <w:rsid w:val="00686CF2"/>
    <w:rsid w:val="00691531"/>
    <w:rsid w:val="00691765"/>
    <w:rsid w:val="00691F94"/>
    <w:rsid w:val="0069217F"/>
    <w:rsid w:val="00693264"/>
    <w:rsid w:val="0069381A"/>
    <w:rsid w:val="006941B9"/>
    <w:rsid w:val="00694BDC"/>
    <w:rsid w:val="006964F9"/>
    <w:rsid w:val="00696F16"/>
    <w:rsid w:val="006979C1"/>
    <w:rsid w:val="00697F6E"/>
    <w:rsid w:val="00697FA0"/>
    <w:rsid w:val="00697FC9"/>
    <w:rsid w:val="006A02EA"/>
    <w:rsid w:val="006A0304"/>
    <w:rsid w:val="006A07A0"/>
    <w:rsid w:val="006A18FA"/>
    <w:rsid w:val="006A1CC8"/>
    <w:rsid w:val="006A2F56"/>
    <w:rsid w:val="006A3A8A"/>
    <w:rsid w:val="006A4B2C"/>
    <w:rsid w:val="006B100C"/>
    <w:rsid w:val="006B16EE"/>
    <w:rsid w:val="006B34A5"/>
    <w:rsid w:val="006B448A"/>
    <w:rsid w:val="006B4F0C"/>
    <w:rsid w:val="006B50B8"/>
    <w:rsid w:val="006C117E"/>
    <w:rsid w:val="006C16F5"/>
    <w:rsid w:val="006C1C52"/>
    <w:rsid w:val="006C2C3B"/>
    <w:rsid w:val="006C2E13"/>
    <w:rsid w:val="006C3BE9"/>
    <w:rsid w:val="006C48D3"/>
    <w:rsid w:val="006C74E7"/>
    <w:rsid w:val="006D224C"/>
    <w:rsid w:val="006D25DC"/>
    <w:rsid w:val="006D2C1E"/>
    <w:rsid w:val="006D30F4"/>
    <w:rsid w:val="006D50FD"/>
    <w:rsid w:val="006D5211"/>
    <w:rsid w:val="006D6EE6"/>
    <w:rsid w:val="006E11E2"/>
    <w:rsid w:val="006E1ECE"/>
    <w:rsid w:val="006E6E9B"/>
    <w:rsid w:val="006E7BEF"/>
    <w:rsid w:val="006F12AE"/>
    <w:rsid w:val="006F3FA7"/>
    <w:rsid w:val="006F4C37"/>
    <w:rsid w:val="006F587B"/>
    <w:rsid w:val="006F71BA"/>
    <w:rsid w:val="00700C3A"/>
    <w:rsid w:val="00700EE5"/>
    <w:rsid w:val="007023C2"/>
    <w:rsid w:val="007030A7"/>
    <w:rsid w:val="00703EA9"/>
    <w:rsid w:val="0070409E"/>
    <w:rsid w:val="00704323"/>
    <w:rsid w:val="00705182"/>
    <w:rsid w:val="00706252"/>
    <w:rsid w:val="00706BE2"/>
    <w:rsid w:val="00710A79"/>
    <w:rsid w:val="0071282C"/>
    <w:rsid w:val="00713086"/>
    <w:rsid w:val="007130D4"/>
    <w:rsid w:val="0071342E"/>
    <w:rsid w:val="00713532"/>
    <w:rsid w:val="00713775"/>
    <w:rsid w:val="007148FF"/>
    <w:rsid w:val="00715430"/>
    <w:rsid w:val="00715EEF"/>
    <w:rsid w:val="00715F0A"/>
    <w:rsid w:val="00717B3D"/>
    <w:rsid w:val="00717D86"/>
    <w:rsid w:val="00717E4F"/>
    <w:rsid w:val="00720261"/>
    <w:rsid w:val="00720757"/>
    <w:rsid w:val="007208D4"/>
    <w:rsid w:val="007209EF"/>
    <w:rsid w:val="0072211A"/>
    <w:rsid w:val="00723869"/>
    <w:rsid w:val="00725292"/>
    <w:rsid w:val="0072540F"/>
    <w:rsid w:val="00725F28"/>
    <w:rsid w:val="00727E17"/>
    <w:rsid w:val="0073069F"/>
    <w:rsid w:val="0073201C"/>
    <w:rsid w:val="0073210A"/>
    <w:rsid w:val="00732C27"/>
    <w:rsid w:val="007339A3"/>
    <w:rsid w:val="00734027"/>
    <w:rsid w:val="00734727"/>
    <w:rsid w:val="007350E2"/>
    <w:rsid w:val="0073533B"/>
    <w:rsid w:val="00735352"/>
    <w:rsid w:val="007354E2"/>
    <w:rsid w:val="00736D45"/>
    <w:rsid w:val="00741602"/>
    <w:rsid w:val="00741D14"/>
    <w:rsid w:val="0074242C"/>
    <w:rsid w:val="00742832"/>
    <w:rsid w:val="00742A06"/>
    <w:rsid w:val="007435CB"/>
    <w:rsid w:val="00743654"/>
    <w:rsid w:val="00743C54"/>
    <w:rsid w:val="00744762"/>
    <w:rsid w:val="0074544E"/>
    <w:rsid w:val="0074547F"/>
    <w:rsid w:val="0074559E"/>
    <w:rsid w:val="007458B4"/>
    <w:rsid w:val="00745B07"/>
    <w:rsid w:val="0074669B"/>
    <w:rsid w:val="00747CE7"/>
    <w:rsid w:val="00751076"/>
    <w:rsid w:val="007519E6"/>
    <w:rsid w:val="00752826"/>
    <w:rsid w:val="00752AF3"/>
    <w:rsid w:val="007549BE"/>
    <w:rsid w:val="007567EB"/>
    <w:rsid w:val="00756A74"/>
    <w:rsid w:val="00761577"/>
    <w:rsid w:val="007634B2"/>
    <w:rsid w:val="00764D6A"/>
    <w:rsid w:val="00765075"/>
    <w:rsid w:val="00765220"/>
    <w:rsid w:val="00765430"/>
    <w:rsid w:val="0076560F"/>
    <w:rsid w:val="00766115"/>
    <w:rsid w:val="00766EC6"/>
    <w:rsid w:val="0077011A"/>
    <w:rsid w:val="007701E9"/>
    <w:rsid w:val="0077145C"/>
    <w:rsid w:val="0077185B"/>
    <w:rsid w:val="007720E8"/>
    <w:rsid w:val="00773949"/>
    <w:rsid w:val="00773E30"/>
    <w:rsid w:val="007751B7"/>
    <w:rsid w:val="00776166"/>
    <w:rsid w:val="00776657"/>
    <w:rsid w:val="007769C3"/>
    <w:rsid w:val="00777F82"/>
    <w:rsid w:val="007816C0"/>
    <w:rsid w:val="00782922"/>
    <w:rsid w:val="00782FC7"/>
    <w:rsid w:val="0078377F"/>
    <w:rsid w:val="00783AC0"/>
    <w:rsid w:val="00784947"/>
    <w:rsid w:val="00784DFB"/>
    <w:rsid w:val="007853CD"/>
    <w:rsid w:val="0078603E"/>
    <w:rsid w:val="007861F6"/>
    <w:rsid w:val="0078671C"/>
    <w:rsid w:val="0078732D"/>
    <w:rsid w:val="00787BC4"/>
    <w:rsid w:val="00790A2A"/>
    <w:rsid w:val="0079116E"/>
    <w:rsid w:val="00791B10"/>
    <w:rsid w:val="00791CE9"/>
    <w:rsid w:val="0079311B"/>
    <w:rsid w:val="00793EFC"/>
    <w:rsid w:val="00794E9D"/>
    <w:rsid w:val="007955B3"/>
    <w:rsid w:val="007968A6"/>
    <w:rsid w:val="00797A16"/>
    <w:rsid w:val="007A0D6A"/>
    <w:rsid w:val="007A2D1D"/>
    <w:rsid w:val="007A330E"/>
    <w:rsid w:val="007A3452"/>
    <w:rsid w:val="007A4CD2"/>
    <w:rsid w:val="007A5313"/>
    <w:rsid w:val="007A5DFB"/>
    <w:rsid w:val="007A6A6D"/>
    <w:rsid w:val="007A6F96"/>
    <w:rsid w:val="007A7CB2"/>
    <w:rsid w:val="007B05BD"/>
    <w:rsid w:val="007B1311"/>
    <w:rsid w:val="007B1747"/>
    <w:rsid w:val="007B3207"/>
    <w:rsid w:val="007B4AC6"/>
    <w:rsid w:val="007B4AE6"/>
    <w:rsid w:val="007B5442"/>
    <w:rsid w:val="007B6733"/>
    <w:rsid w:val="007B7A18"/>
    <w:rsid w:val="007B7C2A"/>
    <w:rsid w:val="007B7EF7"/>
    <w:rsid w:val="007C1D2D"/>
    <w:rsid w:val="007C30C3"/>
    <w:rsid w:val="007C4DAB"/>
    <w:rsid w:val="007C4E7D"/>
    <w:rsid w:val="007C67F7"/>
    <w:rsid w:val="007C6E6A"/>
    <w:rsid w:val="007C78F5"/>
    <w:rsid w:val="007D0F66"/>
    <w:rsid w:val="007D11F3"/>
    <w:rsid w:val="007D1323"/>
    <w:rsid w:val="007D166E"/>
    <w:rsid w:val="007D169B"/>
    <w:rsid w:val="007D248B"/>
    <w:rsid w:val="007D2B17"/>
    <w:rsid w:val="007D2E5F"/>
    <w:rsid w:val="007D2E77"/>
    <w:rsid w:val="007D3CA0"/>
    <w:rsid w:val="007D431B"/>
    <w:rsid w:val="007D4456"/>
    <w:rsid w:val="007D4F51"/>
    <w:rsid w:val="007D5570"/>
    <w:rsid w:val="007D5778"/>
    <w:rsid w:val="007D76F3"/>
    <w:rsid w:val="007E0FC5"/>
    <w:rsid w:val="007E0FE0"/>
    <w:rsid w:val="007E1559"/>
    <w:rsid w:val="007E1EA8"/>
    <w:rsid w:val="007E2402"/>
    <w:rsid w:val="007E2819"/>
    <w:rsid w:val="007E2861"/>
    <w:rsid w:val="007E3041"/>
    <w:rsid w:val="007E3A08"/>
    <w:rsid w:val="007E3C6C"/>
    <w:rsid w:val="007E4A24"/>
    <w:rsid w:val="007E4E14"/>
    <w:rsid w:val="007E56C0"/>
    <w:rsid w:val="007E5C7E"/>
    <w:rsid w:val="007E6064"/>
    <w:rsid w:val="007E624B"/>
    <w:rsid w:val="007E632F"/>
    <w:rsid w:val="007E6C56"/>
    <w:rsid w:val="007E775B"/>
    <w:rsid w:val="007E7DE0"/>
    <w:rsid w:val="007F07F8"/>
    <w:rsid w:val="007F144E"/>
    <w:rsid w:val="007F1F1F"/>
    <w:rsid w:val="007F2459"/>
    <w:rsid w:val="007F3741"/>
    <w:rsid w:val="007F3CF5"/>
    <w:rsid w:val="007F5D42"/>
    <w:rsid w:val="008001DD"/>
    <w:rsid w:val="008012E7"/>
    <w:rsid w:val="008014C2"/>
    <w:rsid w:val="008024CC"/>
    <w:rsid w:val="00802A21"/>
    <w:rsid w:val="00802AC2"/>
    <w:rsid w:val="00803DE1"/>
    <w:rsid w:val="00803F9C"/>
    <w:rsid w:val="00806B9C"/>
    <w:rsid w:val="00810B9E"/>
    <w:rsid w:val="008123D5"/>
    <w:rsid w:val="00812BBE"/>
    <w:rsid w:val="008138A1"/>
    <w:rsid w:val="00813E8B"/>
    <w:rsid w:val="0081445B"/>
    <w:rsid w:val="008144DE"/>
    <w:rsid w:val="00822265"/>
    <w:rsid w:val="00822725"/>
    <w:rsid w:val="00822901"/>
    <w:rsid w:val="00822F10"/>
    <w:rsid w:val="0082387B"/>
    <w:rsid w:val="00825009"/>
    <w:rsid w:val="008262B9"/>
    <w:rsid w:val="0082642C"/>
    <w:rsid w:val="00827672"/>
    <w:rsid w:val="008301F6"/>
    <w:rsid w:val="00831278"/>
    <w:rsid w:val="00832B73"/>
    <w:rsid w:val="00833A77"/>
    <w:rsid w:val="00834B89"/>
    <w:rsid w:val="0083535F"/>
    <w:rsid w:val="008356E6"/>
    <w:rsid w:val="00835D08"/>
    <w:rsid w:val="008361F4"/>
    <w:rsid w:val="00837D34"/>
    <w:rsid w:val="00840E6F"/>
    <w:rsid w:val="0084240B"/>
    <w:rsid w:val="00844BC0"/>
    <w:rsid w:val="00844DBF"/>
    <w:rsid w:val="0084569B"/>
    <w:rsid w:val="008457DB"/>
    <w:rsid w:val="00845CC9"/>
    <w:rsid w:val="00845D23"/>
    <w:rsid w:val="00845F80"/>
    <w:rsid w:val="008472D3"/>
    <w:rsid w:val="00850E50"/>
    <w:rsid w:val="00853CF0"/>
    <w:rsid w:val="00854ED8"/>
    <w:rsid w:val="00855DE1"/>
    <w:rsid w:val="0085692A"/>
    <w:rsid w:val="008601A7"/>
    <w:rsid w:val="00860625"/>
    <w:rsid w:val="008608D4"/>
    <w:rsid w:val="00860F2D"/>
    <w:rsid w:val="00861961"/>
    <w:rsid w:val="00862106"/>
    <w:rsid w:val="00862FD3"/>
    <w:rsid w:val="008633DC"/>
    <w:rsid w:val="008645FE"/>
    <w:rsid w:val="00864CE8"/>
    <w:rsid w:val="00865E31"/>
    <w:rsid w:val="00866B6B"/>
    <w:rsid w:val="00867736"/>
    <w:rsid w:val="008718CD"/>
    <w:rsid w:val="0087219B"/>
    <w:rsid w:val="00872219"/>
    <w:rsid w:val="008749E8"/>
    <w:rsid w:val="00875F62"/>
    <w:rsid w:val="00876518"/>
    <w:rsid w:val="00876545"/>
    <w:rsid w:val="00880717"/>
    <w:rsid w:val="008818E7"/>
    <w:rsid w:val="00882A98"/>
    <w:rsid w:val="00882B82"/>
    <w:rsid w:val="008848F8"/>
    <w:rsid w:val="00885751"/>
    <w:rsid w:val="008869E5"/>
    <w:rsid w:val="00886B57"/>
    <w:rsid w:val="00886C85"/>
    <w:rsid w:val="008904D1"/>
    <w:rsid w:val="0089105B"/>
    <w:rsid w:val="00891620"/>
    <w:rsid w:val="00891B7A"/>
    <w:rsid w:val="00893920"/>
    <w:rsid w:val="0089399E"/>
    <w:rsid w:val="00893E6D"/>
    <w:rsid w:val="00894078"/>
    <w:rsid w:val="00894D08"/>
    <w:rsid w:val="00894E31"/>
    <w:rsid w:val="00895584"/>
    <w:rsid w:val="0089635B"/>
    <w:rsid w:val="00897F21"/>
    <w:rsid w:val="008A080F"/>
    <w:rsid w:val="008A19FB"/>
    <w:rsid w:val="008A2478"/>
    <w:rsid w:val="008A3974"/>
    <w:rsid w:val="008A4642"/>
    <w:rsid w:val="008A52AB"/>
    <w:rsid w:val="008A5F1F"/>
    <w:rsid w:val="008A6774"/>
    <w:rsid w:val="008A704D"/>
    <w:rsid w:val="008A71FB"/>
    <w:rsid w:val="008A750C"/>
    <w:rsid w:val="008B1082"/>
    <w:rsid w:val="008B1462"/>
    <w:rsid w:val="008B1DF7"/>
    <w:rsid w:val="008B2645"/>
    <w:rsid w:val="008B27B5"/>
    <w:rsid w:val="008B2CD2"/>
    <w:rsid w:val="008B36FF"/>
    <w:rsid w:val="008B4688"/>
    <w:rsid w:val="008B5F1E"/>
    <w:rsid w:val="008B67F8"/>
    <w:rsid w:val="008B6A83"/>
    <w:rsid w:val="008B7335"/>
    <w:rsid w:val="008B7EE2"/>
    <w:rsid w:val="008C119D"/>
    <w:rsid w:val="008C16F5"/>
    <w:rsid w:val="008C1919"/>
    <w:rsid w:val="008C2689"/>
    <w:rsid w:val="008C29C0"/>
    <w:rsid w:val="008C32FB"/>
    <w:rsid w:val="008C4C08"/>
    <w:rsid w:val="008C56BC"/>
    <w:rsid w:val="008C71EB"/>
    <w:rsid w:val="008D02B7"/>
    <w:rsid w:val="008D050F"/>
    <w:rsid w:val="008D13E0"/>
    <w:rsid w:val="008D2202"/>
    <w:rsid w:val="008D23F4"/>
    <w:rsid w:val="008D2459"/>
    <w:rsid w:val="008D2EB1"/>
    <w:rsid w:val="008D2F74"/>
    <w:rsid w:val="008D36B3"/>
    <w:rsid w:val="008D3A0E"/>
    <w:rsid w:val="008D3EF8"/>
    <w:rsid w:val="008D4DB1"/>
    <w:rsid w:val="008D5D82"/>
    <w:rsid w:val="008E0926"/>
    <w:rsid w:val="008E1704"/>
    <w:rsid w:val="008E26DD"/>
    <w:rsid w:val="008E2B63"/>
    <w:rsid w:val="008E2CA9"/>
    <w:rsid w:val="008E31BC"/>
    <w:rsid w:val="008E33ED"/>
    <w:rsid w:val="008E34D3"/>
    <w:rsid w:val="008E3816"/>
    <w:rsid w:val="008E3894"/>
    <w:rsid w:val="008E3A8B"/>
    <w:rsid w:val="008E4123"/>
    <w:rsid w:val="008E4457"/>
    <w:rsid w:val="008E5116"/>
    <w:rsid w:val="008E5EB5"/>
    <w:rsid w:val="008E5F22"/>
    <w:rsid w:val="008E7DA0"/>
    <w:rsid w:val="008E7E5C"/>
    <w:rsid w:val="008F035D"/>
    <w:rsid w:val="008F05AA"/>
    <w:rsid w:val="008F09C7"/>
    <w:rsid w:val="008F0F23"/>
    <w:rsid w:val="008F15A5"/>
    <w:rsid w:val="008F262A"/>
    <w:rsid w:val="008F2FD4"/>
    <w:rsid w:val="008F3409"/>
    <w:rsid w:val="008F4515"/>
    <w:rsid w:val="008F46CE"/>
    <w:rsid w:val="008F5A2A"/>
    <w:rsid w:val="008F5C32"/>
    <w:rsid w:val="008F606F"/>
    <w:rsid w:val="008F71E0"/>
    <w:rsid w:val="008F7BEA"/>
    <w:rsid w:val="0090022D"/>
    <w:rsid w:val="00901581"/>
    <w:rsid w:val="00901FFA"/>
    <w:rsid w:val="009020BE"/>
    <w:rsid w:val="009021F5"/>
    <w:rsid w:val="0090261D"/>
    <w:rsid w:val="0090286A"/>
    <w:rsid w:val="00902A5E"/>
    <w:rsid w:val="009040D9"/>
    <w:rsid w:val="00904515"/>
    <w:rsid w:val="00904C9F"/>
    <w:rsid w:val="00907738"/>
    <w:rsid w:val="00910A5B"/>
    <w:rsid w:val="00910E29"/>
    <w:rsid w:val="00912CCD"/>
    <w:rsid w:val="00912CF9"/>
    <w:rsid w:val="009134AB"/>
    <w:rsid w:val="00913E8A"/>
    <w:rsid w:val="00914752"/>
    <w:rsid w:val="009148AF"/>
    <w:rsid w:val="00914A9B"/>
    <w:rsid w:val="00915E79"/>
    <w:rsid w:val="009162B0"/>
    <w:rsid w:val="009169A1"/>
    <w:rsid w:val="0092031A"/>
    <w:rsid w:val="0092043D"/>
    <w:rsid w:val="0092455A"/>
    <w:rsid w:val="009265C9"/>
    <w:rsid w:val="0092692C"/>
    <w:rsid w:val="00930035"/>
    <w:rsid w:val="00930C54"/>
    <w:rsid w:val="0093187D"/>
    <w:rsid w:val="00931F23"/>
    <w:rsid w:val="00932218"/>
    <w:rsid w:val="00932267"/>
    <w:rsid w:val="00936624"/>
    <w:rsid w:val="009370CF"/>
    <w:rsid w:val="009374D5"/>
    <w:rsid w:val="00937792"/>
    <w:rsid w:val="00937D9A"/>
    <w:rsid w:val="00941201"/>
    <w:rsid w:val="00942BBD"/>
    <w:rsid w:val="009431AD"/>
    <w:rsid w:val="00943E78"/>
    <w:rsid w:val="00945B2C"/>
    <w:rsid w:val="00946B67"/>
    <w:rsid w:val="0094702F"/>
    <w:rsid w:val="00947442"/>
    <w:rsid w:val="00947A2D"/>
    <w:rsid w:val="009509EC"/>
    <w:rsid w:val="00950C54"/>
    <w:rsid w:val="0095151B"/>
    <w:rsid w:val="00951592"/>
    <w:rsid w:val="0095275B"/>
    <w:rsid w:val="00952BB3"/>
    <w:rsid w:val="00953D8F"/>
    <w:rsid w:val="00953EB2"/>
    <w:rsid w:val="00954786"/>
    <w:rsid w:val="00954854"/>
    <w:rsid w:val="00955270"/>
    <w:rsid w:val="009555D9"/>
    <w:rsid w:val="00960CBC"/>
    <w:rsid w:val="0096153C"/>
    <w:rsid w:val="009619EB"/>
    <w:rsid w:val="00962461"/>
    <w:rsid w:val="00962AF6"/>
    <w:rsid w:val="009631D1"/>
    <w:rsid w:val="00963677"/>
    <w:rsid w:val="00963B01"/>
    <w:rsid w:val="0096401F"/>
    <w:rsid w:val="00964139"/>
    <w:rsid w:val="00965AE3"/>
    <w:rsid w:val="00966B34"/>
    <w:rsid w:val="00966FF3"/>
    <w:rsid w:val="00970002"/>
    <w:rsid w:val="00970477"/>
    <w:rsid w:val="0097180A"/>
    <w:rsid w:val="0097247E"/>
    <w:rsid w:val="00972FAD"/>
    <w:rsid w:val="00975997"/>
    <w:rsid w:val="00975E73"/>
    <w:rsid w:val="00981467"/>
    <w:rsid w:val="00982685"/>
    <w:rsid w:val="00982CA4"/>
    <w:rsid w:val="009838AB"/>
    <w:rsid w:val="0098673D"/>
    <w:rsid w:val="00987084"/>
    <w:rsid w:val="00987CC5"/>
    <w:rsid w:val="00991817"/>
    <w:rsid w:val="00991B0E"/>
    <w:rsid w:val="00992D85"/>
    <w:rsid w:val="0099359F"/>
    <w:rsid w:val="00993D89"/>
    <w:rsid w:val="00995049"/>
    <w:rsid w:val="00995395"/>
    <w:rsid w:val="00995CC6"/>
    <w:rsid w:val="009961EC"/>
    <w:rsid w:val="009A107A"/>
    <w:rsid w:val="009A1B97"/>
    <w:rsid w:val="009A1C08"/>
    <w:rsid w:val="009A2050"/>
    <w:rsid w:val="009A23F9"/>
    <w:rsid w:val="009A2FAF"/>
    <w:rsid w:val="009A3109"/>
    <w:rsid w:val="009A4CB7"/>
    <w:rsid w:val="009A4F1E"/>
    <w:rsid w:val="009A633A"/>
    <w:rsid w:val="009A726C"/>
    <w:rsid w:val="009A73A6"/>
    <w:rsid w:val="009A7BB1"/>
    <w:rsid w:val="009B19F2"/>
    <w:rsid w:val="009B2AC6"/>
    <w:rsid w:val="009B2C19"/>
    <w:rsid w:val="009B4A75"/>
    <w:rsid w:val="009B52AA"/>
    <w:rsid w:val="009B60E6"/>
    <w:rsid w:val="009C02BD"/>
    <w:rsid w:val="009C0473"/>
    <w:rsid w:val="009C0CBB"/>
    <w:rsid w:val="009C3909"/>
    <w:rsid w:val="009C41FA"/>
    <w:rsid w:val="009C4A30"/>
    <w:rsid w:val="009C5431"/>
    <w:rsid w:val="009C592B"/>
    <w:rsid w:val="009C598C"/>
    <w:rsid w:val="009C6426"/>
    <w:rsid w:val="009C7F08"/>
    <w:rsid w:val="009D00B9"/>
    <w:rsid w:val="009D0F9B"/>
    <w:rsid w:val="009D1C3A"/>
    <w:rsid w:val="009D51F6"/>
    <w:rsid w:val="009D554A"/>
    <w:rsid w:val="009D602D"/>
    <w:rsid w:val="009D753D"/>
    <w:rsid w:val="009D78AF"/>
    <w:rsid w:val="009D7F61"/>
    <w:rsid w:val="009E0011"/>
    <w:rsid w:val="009E0541"/>
    <w:rsid w:val="009E1461"/>
    <w:rsid w:val="009E1669"/>
    <w:rsid w:val="009E1AC0"/>
    <w:rsid w:val="009E227C"/>
    <w:rsid w:val="009E26C1"/>
    <w:rsid w:val="009E3018"/>
    <w:rsid w:val="009E301E"/>
    <w:rsid w:val="009E45B7"/>
    <w:rsid w:val="009E4E14"/>
    <w:rsid w:val="009E4E56"/>
    <w:rsid w:val="009E5309"/>
    <w:rsid w:val="009E6C02"/>
    <w:rsid w:val="009E6EFA"/>
    <w:rsid w:val="009F13F9"/>
    <w:rsid w:val="009F29BA"/>
    <w:rsid w:val="009F32D9"/>
    <w:rsid w:val="009F4CFB"/>
    <w:rsid w:val="009F5F43"/>
    <w:rsid w:val="009F68BF"/>
    <w:rsid w:val="009F6D32"/>
    <w:rsid w:val="00A00604"/>
    <w:rsid w:val="00A007E2"/>
    <w:rsid w:val="00A009D1"/>
    <w:rsid w:val="00A01B32"/>
    <w:rsid w:val="00A01CEC"/>
    <w:rsid w:val="00A02C0E"/>
    <w:rsid w:val="00A035FF"/>
    <w:rsid w:val="00A05BA6"/>
    <w:rsid w:val="00A071CD"/>
    <w:rsid w:val="00A10AA2"/>
    <w:rsid w:val="00A11BCD"/>
    <w:rsid w:val="00A11CAC"/>
    <w:rsid w:val="00A11F4E"/>
    <w:rsid w:val="00A12067"/>
    <w:rsid w:val="00A17156"/>
    <w:rsid w:val="00A21A50"/>
    <w:rsid w:val="00A22EFE"/>
    <w:rsid w:val="00A23B55"/>
    <w:rsid w:val="00A245FC"/>
    <w:rsid w:val="00A24707"/>
    <w:rsid w:val="00A25461"/>
    <w:rsid w:val="00A2587E"/>
    <w:rsid w:val="00A25AB2"/>
    <w:rsid w:val="00A267D5"/>
    <w:rsid w:val="00A27915"/>
    <w:rsid w:val="00A27D6B"/>
    <w:rsid w:val="00A32E3D"/>
    <w:rsid w:val="00A33F06"/>
    <w:rsid w:val="00A361C6"/>
    <w:rsid w:val="00A37B8F"/>
    <w:rsid w:val="00A37BE9"/>
    <w:rsid w:val="00A400FC"/>
    <w:rsid w:val="00A404FF"/>
    <w:rsid w:val="00A4077B"/>
    <w:rsid w:val="00A40F10"/>
    <w:rsid w:val="00A40FAD"/>
    <w:rsid w:val="00A42506"/>
    <w:rsid w:val="00A42DC7"/>
    <w:rsid w:val="00A430D1"/>
    <w:rsid w:val="00A43232"/>
    <w:rsid w:val="00A43F89"/>
    <w:rsid w:val="00A44869"/>
    <w:rsid w:val="00A454C6"/>
    <w:rsid w:val="00A4586E"/>
    <w:rsid w:val="00A45E3A"/>
    <w:rsid w:val="00A47C2E"/>
    <w:rsid w:val="00A504E9"/>
    <w:rsid w:val="00A510C6"/>
    <w:rsid w:val="00A526C7"/>
    <w:rsid w:val="00A527B7"/>
    <w:rsid w:val="00A539B9"/>
    <w:rsid w:val="00A545D3"/>
    <w:rsid w:val="00A545E0"/>
    <w:rsid w:val="00A549FA"/>
    <w:rsid w:val="00A54D3E"/>
    <w:rsid w:val="00A5521A"/>
    <w:rsid w:val="00A55EE2"/>
    <w:rsid w:val="00A5647B"/>
    <w:rsid w:val="00A56B82"/>
    <w:rsid w:val="00A56E56"/>
    <w:rsid w:val="00A57469"/>
    <w:rsid w:val="00A574AB"/>
    <w:rsid w:val="00A5756F"/>
    <w:rsid w:val="00A61217"/>
    <w:rsid w:val="00A61DF7"/>
    <w:rsid w:val="00A62FAA"/>
    <w:rsid w:val="00A63324"/>
    <w:rsid w:val="00A655F9"/>
    <w:rsid w:val="00A66EF1"/>
    <w:rsid w:val="00A67B4C"/>
    <w:rsid w:val="00A7135C"/>
    <w:rsid w:val="00A7254C"/>
    <w:rsid w:val="00A72C69"/>
    <w:rsid w:val="00A73E16"/>
    <w:rsid w:val="00A743AC"/>
    <w:rsid w:val="00A746E8"/>
    <w:rsid w:val="00A76272"/>
    <w:rsid w:val="00A764DD"/>
    <w:rsid w:val="00A765E6"/>
    <w:rsid w:val="00A76E53"/>
    <w:rsid w:val="00A7780A"/>
    <w:rsid w:val="00A8044E"/>
    <w:rsid w:val="00A81768"/>
    <w:rsid w:val="00A82B3C"/>
    <w:rsid w:val="00A85083"/>
    <w:rsid w:val="00A85488"/>
    <w:rsid w:val="00A857D9"/>
    <w:rsid w:val="00A85D2D"/>
    <w:rsid w:val="00A864E1"/>
    <w:rsid w:val="00A8735B"/>
    <w:rsid w:val="00A912C0"/>
    <w:rsid w:val="00A92C19"/>
    <w:rsid w:val="00A93EB9"/>
    <w:rsid w:val="00A942D1"/>
    <w:rsid w:val="00A957BB"/>
    <w:rsid w:val="00A958D6"/>
    <w:rsid w:val="00A965FD"/>
    <w:rsid w:val="00A96689"/>
    <w:rsid w:val="00A977F9"/>
    <w:rsid w:val="00AA013F"/>
    <w:rsid w:val="00AA1AB6"/>
    <w:rsid w:val="00AA1D72"/>
    <w:rsid w:val="00AA4D1E"/>
    <w:rsid w:val="00AA53F8"/>
    <w:rsid w:val="00AA6045"/>
    <w:rsid w:val="00AB1491"/>
    <w:rsid w:val="00AB1F1F"/>
    <w:rsid w:val="00AB4174"/>
    <w:rsid w:val="00AB5400"/>
    <w:rsid w:val="00AB543F"/>
    <w:rsid w:val="00AB5685"/>
    <w:rsid w:val="00AB617D"/>
    <w:rsid w:val="00AB6C60"/>
    <w:rsid w:val="00AC1058"/>
    <w:rsid w:val="00AC1E22"/>
    <w:rsid w:val="00AC22BF"/>
    <w:rsid w:val="00AC2CE2"/>
    <w:rsid w:val="00AC47CD"/>
    <w:rsid w:val="00AC4CEB"/>
    <w:rsid w:val="00AC4E50"/>
    <w:rsid w:val="00AC62E4"/>
    <w:rsid w:val="00AC72C1"/>
    <w:rsid w:val="00AC747F"/>
    <w:rsid w:val="00AC7C64"/>
    <w:rsid w:val="00AD0320"/>
    <w:rsid w:val="00AD114C"/>
    <w:rsid w:val="00AD1F56"/>
    <w:rsid w:val="00AD21D9"/>
    <w:rsid w:val="00AD2346"/>
    <w:rsid w:val="00AD5339"/>
    <w:rsid w:val="00AD598F"/>
    <w:rsid w:val="00AD6040"/>
    <w:rsid w:val="00AD6C32"/>
    <w:rsid w:val="00AD7475"/>
    <w:rsid w:val="00AD7C48"/>
    <w:rsid w:val="00AE1639"/>
    <w:rsid w:val="00AE2E53"/>
    <w:rsid w:val="00AE2E69"/>
    <w:rsid w:val="00AE4171"/>
    <w:rsid w:val="00AE4D01"/>
    <w:rsid w:val="00AE69D4"/>
    <w:rsid w:val="00AE76A3"/>
    <w:rsid w:val="00AE7DA7"/>
    <w:rsid w:val="00AF01EF"/>
    <w:rsid w:val="00AF0738"/>
    <w:rsid w:val="00AF0799"/>
    <w:rsid w:val="00AF191B"/>
    <w:rsid w:val="00AF1A64"/>
    <w:rsid w:val="00AF1AED"/>
    <w:rsid w:val="00AF1EB7"/>
    <w:rsid w:val="00AF2749"/>
    <w:rsid w:val="00AF2C1E"/>
    <w:rsid w:val="00AF2ED7"/>
    <w:rsid w:val="00AF30A9"/>
    <w:rsid w:val="00AF7FE3"/>
    <w:rsid w:val="00B0062A"/>
    <w:rsid w:val="00B016AD"/>
    <w:rsid w:val="00B020DD"/>
    <w:rsid w:val="00B022EC"/>
    <w:rsid w:val="00B02AA0"/>
    <w:rsid w:val="00B0315E"/>
    <w:rsid w:val="00B03D01"/>
    <w:rsid w:val="00B04352"/>
    <w:rsid w:val="00B053C5"/>
    <w:rsid w:val="00B059C3"/>
    <w:rsid w:val="00B105F1"/>
    <w:rsid w:val="00B11EE2"/>
    <w:rsid w:val="00B1277F"/>
    <w:rsid w:val="00B12A9A"/>
    <w:rsid w:val="00B12DC8"/>
    <w:rsid w:val="00B134C3"/>
    <w:rsid w:val="00B135AF"/>
    <w:rsid w:val="00B13C20"/>
    <w:rsid w:val="00B13DDC"/>
    <w:rsid w:val="00B14E7A"/>
    <w:rsid w:val="00B16234"/>
    <w:rsid w:val="00B20A02"/>
    <w:rsid w:val="00B21153"/>
    <w:rsid w:val="00B219FF"/>
    <w:rsid w:val="00B22DFB"/>
    <w:rsid w:val="00B23659"/>
    <w:rsid w:val="00B24367"/>
    <w:rsid w:val="00B25523"/>
    <w:rsid w:val="00B266A0"/>
    <w:rsid w:val="00B27B17"/>
    <w:rsid w:val="00B27C2A"/>
    <w:rsid w:val="00B311A7"/>
    <w:rsid w:val="00B31A9A"/>
    <w:rsid w:val="00B31AE3"/>
    <w:rsid w:val="00B323AD"/>
    <w:rsid w:val="00B3311C"/>
    <w:rsid w:val="00B3327D"/>
    <w:rsid w:val="00B33671"/>
    <w:rsid w:val="00B34325"/>
    <w:rsid w:val="00B34C2B"/>
    <w:rsid w:val="00B3527C"/>
    <w:rsid w:val="00B3690D"/>
    <w:rsid w:val="00B36A00"/>
    <w:rsid w:val="00B3738B"/>
    <w:rsid w:val="00B37397"/>
    <w:rsid w:val="00B37F2C"/>
    <w:rsid w:val="00B407CD"/>
    <w:rsid w:val="00B40B5B"/>
    <w:rsid w:val="00B40F28"/>
    <w:rsid w:val="00B40FA1"/>
    <w:rsid w:val="00B417A4"/>
    <w:rsid w:val="00B42FF7"/>
    <w:rsid w:val="00B46689"/>
    <w:rsid w:val="00B46B55"/>
    <w:rsid w:val="00B473A1"/>
    <w:rsid w:val="00B47F3E"/>
    <w:rsid w:val="00B514CC"/>
    <w:rsid w:val="00B51AD1"/>
    <w:rsid w:val="00B53190"/>
    <w:rsid w:val="00B53616"/>
    <w:rsid w:val="00B5547D"/>
    <w:rsid w:val="00B55A01"/>
    <w:rsid w:val="00B55B25"/>
    <w:rsid w:val="00B56DB8"/>
    <w:rsid w:val="00B578D5"/>
    <w:rsid w:val="00B60292"/>
    <w:rsid w:val="00B60BF6"/>
    <w:rsid w:val="00B611FA"/>
    <w:rsid w:val="00B61741"/>
    <w:rsid w:val="00B61E17"/>
    <w:rsid w:val="00B63591"/>
    <w:rsid w:val="00B6360B"/>
    <w:rsid w:val="00B644EB"/>
    <w:rsid w:val="00B64F5D"/>
    <w:rsid w:val="00B6540A"/>
    <w:rsid w:val="00B662C8"/>
    <w:rsid w:val="00B674DE"/>
    <w:rsid w:val="00B709F8"/>
    <w:rsid w:val="00B72260"/>
    <w:rsid w:val="00B722EA"/>
    <w:rsid w:val="00B73FD8"/>
    <w:rsid w:val="00B7461C"/>
    <w:rsid w:val="00B75EC2"/>
    <w:rsid w:val="00B761D7"/>
    <w:rsid w:val="00B7656E"/>
    <w:rsid w:val="00B769F7"/>
    <w:rsid w:val="00B76DD2"/>
    <w:rsid w:val="00B7736B"/>
    <w:rsid w:val="00B8270B"/>
    <w:rsid w:val="00B82B6B"/>
    <w:rsid w:val="00B82D90"/>
    <w:rsid w:val="00B834F8"/>
    <w:rsid w:val="00B837CC"/>
    <w:rsid w:val="00B8410A"/>
    <w:rsid w:val="00B84819"/>
    <w:rsid w:val="00B84E48"/>
    <w:rsid w:val="00B873D3"/>
    <w:rsid w:val="00B87702"/>
    <w:rsid w:val="00B8779C"/>
    <w:rsid w:val="00B87887"/>
    <w:rsid w:val="00B900A7"/>
    <w:rsid w:val="00B906BE"/>
    <w:rsid w:val="00B906E6"/>
    <w:rsid w:val="00B9091D"/>
    <w:rsid w:val="00B90A2A"/>
    <w:rsid w:val="00B90C48"/>
    <w:rsid w:val="00B924E1"/>
    <w:rsid w:val="00B92EDD"/>
    <w:rsid w:val="00B93266"/>
    <w:rsid w:val="00B9329C"/>
    <w:rsid w:val="00B94558"/>
    <w:rsid w:val="00B9540D"/>
    <w:rsid w:val="00B96167"/>
    <w:rsid w:val="00B96C5F"/>
    <w:rsid w:val="00B971C0"/>
    <w:rsid w:val="00B97344"/>
    <w:rsid w:val="00B97744"/>
    <w:rsid w:val="00B979DD"/>
    <w:rsid w:val="00B97D65"/>
    <w:rsid w:val="00BA0DC0"/>
    <w:rsid w:val="00BA1D4A"/>
    <w:rsid w:val="00BA21E3"/>
    <w:rsid w:val="00BA2424"/>
    <w:rsid w:val="00BA348F"/>
    <w:rsid w:val="00BA3CDA"/>
    <w:rsid w:val="00BA78ED"/>
    <w:rsid w:val="00BA7954"/>
    <w:rsid w:val="00BB061A"/>
    <w:rsid w:val="00BB09E3"/>
    <w:rsid w:val="00BB134C"/>
    <w:rsid w:val="00BB1637"/>
    <w:rsid w:val="00BB1F9F"/>
    <w:rsid w:val="00BB2B4E"/>
    <w:rsid w:val="00BB4D60"/>
    <w:rsid w:val="00BB4F1C"/>
    <w:rsid w:val="00BB50A8"/>
    <w:rsid w:val="00BB52CF"/>
    <w:rsid w:val="00BB5973"/>
    <w:rsid w:val="00BB5FB6"/>
    <w:rsid w:val="00BB64B9"/>
    <w:rsid w:val="00BB67A5"/>
    <w:rsid w:val="00BB6A18"/>
    <w:rsid w:val="00BB6E66"/>
    <w:rsid w:val="00BC1967"/>
    <w:rsid w:val="00BC29EF"/>
    <w:rsid w:val="00BC3496"/>
    <w:rsid w:val="00BC3722"/>
    <w:rsid w:val="00BC5289"/>
    <w:rsid w:val="00BC5EB7"/>
    <w:rsid w:val="00BC5FF9"/>
    <w:rsid w:val="00BC699F"/>
    <w:rsid w:val="00BC71EF"/>
    <w:rsid w:val="00BC7819"/>
    <w:rsid w:val="00BC7DDD"/>
    <w:rsid w:val="00BC7FE9"/>
    <w:rsid w:val="00BD02AE"/>
    <w:rsid w:val="00BD0A88"/>
    <w:rsid w:val="00BD18A0"/>
    <w:rsid w:val="00BD30DA"/>
    <w:rsid w:val="00BD313A"/>
    <w:rsid w:val="00BD39D1"/>
    <w:rsid w:val="00BD6254"/>
    <w:rsid w:val="00BD62CA"/>
    <w:rsid w:val="00BD7124"/>
    <w:rsid w:val="00BD795A"/>
    <w:rsid w:val="00BE046D"/>
    <w:rsid w:val="00BE0E8B"/>
    <w:rsid w:val="00BE1297"/>
    <w:rsid w:val="00BE17C1"/>
    <w:rsid w:val="00BE1D77"/>
    <w:rsid w:val="00BE2BEF"/>
    <w:rsid w:val="00BE34AE"/>
    <w:rsid w:val="00BE4783"/>
    <w:rsid w:val="00BE615D"/>
    <w:rsid w:val="00BE6620"/>
    <w:rsid w:val="00BE6742"/>
    <w:rsid w:val="00BE67E3"/>
    <w:rsid w:val="00BE6F62"/>
    <w:rsid w:val="00BF0357"/>
    <w:rsid w:val="00BF56D1"/>
    <w:rsid w:val="00BF58E9"/>
    <w:rsid w:val="00BF5B6F"/>
    <w:rsid w:val="00BF637B"/>
    <w:rsid w:val="00BF63A0"/>
    <w:rsid w:val="00BF7365"/>
    <w:rsid w:val="00BF748D"/>
    <w:rsid w:val="00C00416"/>
    <w:rsid w:val="00C00927"/>
    <w:rsid w:val="00C00F2E"/>
    <w:rsid w:val="00C03112"/>
    <w:rsid w:val="00C03866"/>
    <w:rsid w:val="00C03DA0"/>
    <w:rsid w:val="00C03FD7"/>
    <w:rsid w:val="00C05C41"/>
    <w:rsid w:val="00C064A8"/>
    <w:rsid w:val="00C06934"/>
    <w:rsid w:val="00C06D60"/>
    <w:rsid w:val="00C07928"/>
    <w:rsid w:val="00C105F6"/>
    <w:rsid w:val="00C1147E"/>
    <w:rsid w:val="00C12187"/>
    <w:rsid w:val="00C12DC9"/>
    <w:rsid w:val="00C13B3A"/>
    <w:rsid w:val="00C14D74"/>
    <w:rsid w:val="00C15623"/>
    <w:rsid w:val="00C15C27"/>
    <w:rsid w:val="00C15C42"/>
    <w:rsid w:val="00C1638B"/>
    <w:rsid w:val="00C16DCA"/>
    <w:rsid w:val="00C20156"/>
    <w:rsid w:val="00C24C4C"/>
    <w:rsid w:val="00C252B8"/>
    <w:rsid w:val="00C25895"/>
    <w:rsid w:val="00C25EDD"/>
    <w:rsid w:val="00C2637A"/>
    <w:rsid w:val="00C27794"/>
    <w:rsid w:val="00C27C2F"/>
    <w:rsid w:val="00C305CE"/>
    <w:rsid w:val="00C31C6F"/>
    <w:rsid w:val="00C31FD5"/>
    <w:rsid w:val="00C32C1F"/>
    <w:rsid w:val="00C334AE"/>
    <w:rsid w:val="00C33F38"/>
    <w:rsid w:val="00C355E8"/>
    <w:rsid w:val="00C357ED"/>
    <w:rsid w:val="00C36041"/>
    <w:rsid w:val="00C362A3"/>
    <w:rsid w:val="00C404D8"/>
    <w:rsid w:val="00C412DB"/>
    <w:rsid w:val="00C414A6"/>
    <w:rsid w:val="00C41E13"/>
    <w:rsid w:val="00C438CF"/>
    <w:rsid w:val="00C43AA7"/>
    <w:rsid w:val="00C43F91"/>
    <w:rsid w:val="00C45BE0"/>
    <w:rsid w:val="00C46DFF"/>
    <w:rsid w:val="00C50EED"/>
    <w:rsid w:val="00C513FC"/>
    <w:rsid w:val="00C5283D"/>
    <w:rsid w:val="00C539B6"/>
    <w:rsid w:val="00C54CBD"/>
    <w:rsid w:val="00C551F0"/>
    <w:rsid w:val="00C6069C"/>
    <w:rsid w:val="00C60EF5"/>
    <w:rsid w:val="00C62066"/>
    <w:rsid w:val="00C62610"/>
    <w:rsid w:val="00C64FBA"/>
    <w:rsid w:val="00C650B8"/>
    <w:rsid w:val="00C65912"/>
    <w:rsid w:val="00C66430"/>
    <w:rsid w:val="00C666DB"/>
    <w:rsid w:val="00C66810"/>
    <w:rsid w:val="00C72BBB"/>
    <w:rsid w:val="00C74062"/>
    <w:rsid w:val="00C748D1"/>
    <w:rsid w:val="00C760F0"/>
    <w:rsid w:val="00C7755B"/>
    <w:rsid w:val="00C77CF3"/>
    <w:rsid w:val="00C77F7A"/>
    <w:rsid w:val="00C80439"/>
    <w:rsid w:val="00C80449"/>
    <w:rsid w:val="00C824C6"/>
    <w:rsid w:val="00C82F7E"/>
    <w:rsid w:val="00C83145"/>
    <w:rsid w:val="00C83FE0"/>
    <w:rsid w:val="00C83FF0"/>
    <w:rsid w:val="00C851CD"/>
    <w:rsid w:val="00C85DEF"/>
    <w:rsid w:val="00C85F22"/>
    <w:rsid w:val="00C85FC5"/>
    <w:rsid w:val="00C860C8"/>
    <w:rsid w:val="00C86442"/>
    <w:rsid w:val="00C86FA2"/>
    <w:rsid w:val="00C90D9A"/>
    <w:rsid w:val="00C927FC"/>
    <w:rsid w:val="00C9413A"/>
    <w:rsid w:val="00C959B7"/>
    <w:rsid w:val="00CA0EC2"/>
    <w:rsid w:val="00CA1704"/>
    <w:rsid w:val="00CA1A6B"/>
    <w:rsid w:val="00CA25FF"/>
    <w:rsid w:val="00CA3784"/>
    <w:rsid w:val="00CA431B"/>
    <w:rsid w:val="00CA4839"/>
    <w:rsid w:val="00CA4876"/>
    <w:rsid w:val="00CA499E"/>
    <w:rsid w:val="00CA5254"/>
    <w:rsid w:val="00CA5B44"/>
    <w:rsid w:val="00CA5FA6"/>
    <w:rsid w:val="00CA78B4"/>
    <w:rsid w:val="00CA7D19"/>
    <w:rsid w:val="00CB1546"/>
    <w:rsid w:val="00CB1804"/>
    <w:rsid w:val="00CB19D2"/>
    <w:rsid w:val="00CB2FF6"/>
    <w:rsid w:val="00CB33B6"/>
    <w:rsid w:val="00CB3743"/>
    <w:rsid w:val="00CB414F"/>
    <w:rsid w:val="00CB5320"/>
    <w:rsid w:val="00CB5A35"/>
    <w:rsid w:val="00CB600B"/>
    <w:rsid w:val="00CB6E7C"/>
    <w:rsid w:val="00CB7196"/>
    <w:rsid w:val="00CB7208"/>
    <w:rsid w:val="00CB7BE9"/>
    <w:rsid w:val="00CC0601"/>
    <w:rsid w:val="00CC0BE0"/>
    <w:rsid w:val="00CC25A2"/>
    <w:rsid w:val="00CC274C"/>
    <w:rsid w:val="00CC2A2B"/>
    <w:rsid w:val="00CC3845"/>
    <w:rsid w:val="00CC4EDF"/>
    <w:rsid w:val="00CC4F3F"/>
    <w:rsid w:val="00CD00B6"/>
    <w:rsid w:val="00CD00DC"/>
    <w:rsid w:val="00CD06EE"/>
    <w:rsid w:val="00CD19DF"/>
    <w:rsid w:val="00CD25A0"/>
    <w:rsid w:val="00CD2A08"/>
    <w:rsid w:val="00CD2A60"/>
    <w:rsid w:val="00CD2F04"/>
    <w:rsid w:val="00CD399F"/>
    <w:rsid w:val="00CD51C1"/>
    <w:rsid w:val="00CD63BF"/>
    <w:rsid w:val="00CD6E9F"/>
    <w:rsid w:val="00CD737A"/>
    <w:rsid w:val="00CD7B19"/>
    <w:rsid w:val="00CE0B6E"/>
    <w:rsid w:val="00CE118E"/>
    <w:rsid w:val="00CE179E"/>
    <w:rsid w:val="00CE2262"/>
    <w:rsid w:val="00CE27F0"/>
    <w:rsid w:val="00CE44DB"/>
    <w:rsid w:val="00CE5834"/>
    <w:rsid w:val="00CE5EF0"/>
    <w:rsid w:val="00CF03B5"/>
    <w:rsid w:val="00CF13CC"/>
    <w:rsid w:val="00CF3A0D"/>
    <w:rsid w:val="00CF3FF2"/>
    <w:rsid w:val="00CF46B5"/>
    <w:rsid w:val="00CF4743"/>
    <w:rsid w:val="00CF7415"/>
    <w:rsid w:val="00CF7853"/>
    <w:rsid w:val="00D00985"/>
    <w:rsid w:val="00D00C43"/>
    <w:rsid w:val="00D0434B"/>
    <w:rsid w:val="00D04FE3"/>
    <w:rsid w:val="00D0533C"/>
    <w:rsid w:val="00D05426"/>
    <w:rsid w:val="00D05BF8"/>
    <w:rsid w:val="00D1074F"/>
    <w:rsid w:val="00D11900"/>
    <w:rsid w:val="00D12BAF"/>
    <w:rsid w:val="00D147DD"/>
    <w:rsid w:val="00D14A7D"/>
    <w:rsid w:val="00D166AD"/>
    <w:rsid w:val="00D1694D"/>
    <w:rsid w:val="00D16B40"/>
    <w:rsid w:val="00D16BEA"/>
    <w:rsid w:val="00D20088"/>
    <w:rsid w:val="00D20179"/>
    <w:rsid w:val="00D20DF3"/>
    <w:rsid w:val="00D21559"/>
    <w:rsid w:val="00D21D9E"/>
    <w:rsid w:val="00D257F6"/>
    <w:rsid w:val="00D25ECD"/>
    <w:rsid w:val="00D262A0"/>
    <w:rsid w:val="00D30575"/>
    <w:rsid w:val="00D306D2"/>
    <w:rsid w:val="00D314AC"/>
    <w:rsid w:val="00D31956"/>
    <w:rsid w:val="00D3216F"/>
    <w:rsid w:val="00D32817"/>
    <w:rsid w:val="00D32BFD"/>
    <w:rsid w:val="00D35E2F"/>
    <w:rsid w:val="00D35E32"/>
    <w:rsid w:val="00D364C8"/>
    <w:rsid w:val="00D36CA8"/>
    <w:rsid w:val="00D4253B"/>
    <w:rsid w:val="00D43C47"/>
    <w:rsid w:val="00D44EAE"/>
    <w:rsid w:val="00D4536E"/>
    <w:rsid w:val="00D47CDE"/>
    <w:rsid w:val="00D47D87"/>
    <w:rsid w:val="00D47FF3"/>
    <w:rsid w:val="00D50AF2"/>
    <w:rsid w:val="00D512B0"/>
    <w:rsid w:val="00D519E4"/>
    <w:rsid w:val="00D51FD1"/>
    <w:rsid w:val="00D520AB"/>
    <w:rsid w:val="00D5235A"/>
    <w:rsid w:val="00D53DB8"/>
    <w:rsid w:val="00D546D5"/>
    <w:rsid w:val="00D54AD4"/>
    <w:rsid w:val="00D55BB2"/>
    <w:rsid w:val="00D55C5E"/>
    <w:rsid w:val="00D60CF5"/>
    <w:rsid w:val="00D61AD4"/>
    <w:rsid w:val="00D62560"/>
    <w:rsid w:val="00D635D2"/>
    <w:rsid w:val="00D63B6A"/>
    <w:rsid w:val="00D64470"/>
    <w:rsid w:val="00D647F3"/>
    <w:rsid w:val="00D64AD3"/>
    <w:rsid w:val="00D66185"/>
    <w:rsid w:val="00D6765F"/>
    <w:rsid w:val="00D706A6"/>
    <w:rsid w:val="00D70A8F"/>
    <w:rsid w:val="00D70C4C"/>
    <w:rsid w:val="00D71619"/>
    <w:rsid w:val="00D72E2F"/>
    <w:rsid w:val="00D7315B"/>
    <w:rsid w:val="00D7327C"/>
    <w:rsid w:val="00D74E44"/>
    <w:rsid w:val="00D756BE"/>
    <w:rsid w:val="00D75909"/>
    <w:rsid w:val="00D760A1"/>
    <w:rsid w:val="00D80C59"/>
    <w:rsid w:val="00D861B7"/>
    <w:rsid w:val="00D86925"/>
    <w:rsid w:val="00D86984"/>
    <w:rsid w:val="00D907DA"/>
    <w:rsid w:val="00D916A1"/>
    <w:rsid w:val="00D91810"/>
    <w:rsid w:val="00D9181F"/>
    <w:rsid w:val="00D9205E"/>
    <w:rsid w:val="00D92654"/>
    <w:rsid w:val="00D92C6C"/>
    <w:rsid w:val="00D938C6"/>
    <w:rsid w:val="00D940FB"/>
    <w:rsid w:val="00D949DD"/>
    <w:rsid w:val="00D94E28"/>
    <w:rsid w:val="00D953D2"/>
    <w:rsid w:val="00D95488"/>
    <w:rsid w:val="00D96403"/>
    <w:rsid w:val="00D969AC"/>
    <w:rsid w:val="00DA34A3"/>
    <w:rsid w:val="00DA351F"/>
    <w:rsid w:val="00DA37DB"/>
    <w:rsid w:val="00DA3A5B"/>
    <w:rsid w:val="00DA3CD1"/>
    <w:rsid w:val="00DA4005"/>
    <w:rsid w:val="00DA45BE"/>
    <w:rsid w:val="00DA4676"/>
    <w:rsid w:val="00DA5479"/>
    <w:rsid w:val="00DA58F0"/>
    <w:rsid w:val="00DA74F7"/>
    <w:rsid w:val="00DB0230"/>
    <w:rsid w:val="00DB11C5"/>
    <w:rsid w:val="00DB2BF1"/>
    <w:rsid w:val="00DB305C"/>
    <w:rsid w:val="00DB3444"/>
    <w:rsid w:val="00DB3A06"/>
    <w:rsid w:val="00DB3B46"/>
    <w:rsid w:val="00DB4A2E"/>
    <w:rsid w:val="00DB4B06"/>
    <w:rsid w:val="00DB5A57"/>
    <w:rsid w:val="00DB5BBD"/>
    <w:rsid w:val="00DB6940"/>
    <w:rsid w:val="00DB6CB0"/>
    <w:rsid w:val="00DB6F7D"/>
    <w:rsid w:val="00DB7A02"/>
    <w:rsid w:val="00DB7DC3"/>
    <w:rsid w:val="00DC1146"/>
    <w:rsid w:val="00DC1443"/>
    <w:rsid w:val="00DC2EAB"/>
    <w:rsid w:val="00DC3233"/>
    <w:rsid w:val="00DC40B9"/>
    <w:rsid w:val="00DC432A"/>
    <w:rsid w:val="00DC4C2E"/>
    <w:rsid w:val="00DC508B"/>
    <w:rsid w:val="00DC5755"/>
    <w:rsid w:val="00DC6E95"/>
    <w:rsid w:val="00DD03E3"/>
    <w:rsid w:val="00DD07DE"/>
    <w:rsid w:val="00DD0817"/>
    <w:rsid w:val="00DD1EBF"/>
    <w:rsid w:val="00DD223F"/>
    <w:rsid w:val="00DD25C5"/>
    <w:rsid w:val="00DD28D8"/>
    <w:rsid w:val="00DD3493"/>
    <w:rsid w:val="00DD4536"/>
    <w:rsid w:val="00DD53CE"/>
    <w:rsid w:val="00DD5C72"/>
    <w:rsid w:val="00DD6B0E"/>
    <w:rsid w:val="00DD6BDF"/>
    <w:rsid w:val="00DE1C31"/>
    <w:rsid w:val="00DE2596"/>
    <w:rsid w:val="00DE2A9D"/>
    <w:rsid w:val="00DE320C"/>
    <w:rsid w:val="00DE3579"/>
    <w:rsid w:val="00DE45C5"/>
    <w:rsid w:val="00DE5D8F"/>
    <w:rsid w:val="00DE6111"/>
    <w:rsid w:val="00DE6570"/>
    <w:rsid w:val="00DE69B4"/>
    <w:rsid w:val="00DE700A"/>
    <w:rsid w:val="00DE70FC"/>
    <w:rsid w:val="00DE7358"/>
    <w:rsid w:val="00DE7589"/>
    <w:rsid w:val="00DE7922"/>
    <w:rsid w:val="00DE7EB4"/>
    <w:rsid w:val="00DF0864"/>
    <w:rsid w:val="00DF092F"/>
    <w:rsid w:val="00DF4886"/>
    <w:rsid w:val="00DF5209"/>
    <w:rsid w:val="00DF54DA"/>
    <w:rsid w:val="00DF567D"/>
    <w:rsid w:val="00DF5956"/>
    <w:rsid w:val="00DF640D"/>
    <w:rsid w:val="00DF7F50"/>
    <w:rsid w:val="00E00D7F"/>
    <w:rsid w:val="00E01089"/>
    <w:rsid w:val="00E02E7C"/>
    <w:rsid w:val="00E0487E"/>
    <w:rsid w:val="00E04E7C"/>
    <w:rsid w:val="00E05F5F"/>
    <w:rsid w:val="00E061BE"/>
    <w:rsid w:val="00E06F73"/>
    <w:rsid w:val="00E07381"/>
    <w:rsid w:val="00E07D6A"/>
    <w:rsid w:val="00E1018D"/>
    <w:rsid w:val="00E10754"/>
    <w:rsid w:val="00E12E2E"/>
    <w:rsid w:val="00E133BF"/>
    <w:rsid w:val="00E13416"/>
    <w:rsid w:val="00E13FFA"/>
    <w:rsid w:val="00E14C8B"/>
    <w:rsid w:val="00E15A2B"/>
    <w:rsid w:val="00E1636D"/>
    <w:rsid w:val="00E164E3"/>
    <w:rsid w:val="00E177FF"/>
    <w:rsid w:val="00E20EC6"/>
    <w:rsid w:val="00E2183E"/>
    <w:rsid w:val="00E2213E"/>
    <w:rsid w:val="00E22F6E"/>
    <w:rsid w:val="00E241D1"/>
    <w:rsid w:val="00E2457D"/>
    <w:rsid w:val="00E248F7"/>
    <w:rsid w:val="00E24DB4"/>
    <w:rsid w:val="00E263E6"/>
    <w:rsid w:val="00E26B54"/>
    <w:rsid w:val="00E272AD"/>
    <w:rsid w:val="00E309DA"/>
    <w:rsid w:val="00E32B55"/>
    <w:rsid w:val="00E3367A"/>
    <w:rsid w:val="00E35140"/>
    <w:rsid w:val="00E35465"/>
    <w:rsid w:val="00E355C7"/>
    <w:rsid w:val="00E359D8"/>
    <w:rsid w:val="00E35C2F"/>
    <w:rsid w:val="00E3618A"/>
    <w:rsid w:val="00E36C13"/>
    <w:rsid w:val="00E36F05"/>
    <w:rsid w:val="00E40703"/>
    <w:rsid w:val="00E41411"/>
    <w:rsid w:val="00E4173B"/>
    <w:rsid w:val="00E432D2"/>
    <w:rsid w:val="00E436B4"/>
    <w:rsid w:val="00E443BD"/>
    <w:rsid w:val="00E44B53"/>
    <w:rsid w:val="00E463C6"/>
    <w:rsid w:val="00E46F8F"/>
    <w:rsid w:val="00E50F32"/>
    <w:rsid w:val="00E53611"/>
    <w:rsid w:val="00E53638"/>
    <w:rsid w:val="00E53E6B"/>
    <w:rsid w:val="00E5462F"/>
    <w:rsid w:val="00E5464A"/>
    <w:rsid w:val="00E54704"/>
    <w:rsid w:val="00E569D6"/>
    <w:rsid w:val="00E61B20"/>
    <w:rsid w:val="00E625BC"/>
    <w:rsid w:val="00E62E85"/>
    <w:rsid w:val="00E6387C"/>
    <w:rsid w:val="00E6563A"/>
    <w:rsid w:val="00E6644C"/>
    <w:rsid w:val="00E703CA"/>
    <w:rsid w:val="00E7069E"/>
    <w:rsid w:val="00E71609"/>
    <w:rsid w:val="00E716FC"/>
    <w:rsid w:val="00E7277F"/>
    <w:rsid w:val="00E73DAE"/>
    <w:rsid w:val="00E74D3A"/>
    <w:rsid w:val="00E74F5F"/>
    <w:rsid w:val="00E75114"/>
    <w:rsid w:val="00E759AD"/>
    <w:rsid w:val="00E76568"/>
    <w:rsid w:val="00E769EE"/>
    <w:rsid w:val="00E778C9"/>
    <w:rsid w:val="00E77B01"/>
    <w:rsid w:val="00E77F1C"/>
    <w:rsid w:val="00E8090B"/>
    <w:rsid w:val="00E8123E"/>
    <w:rsid w:val="00E8134B"/>
    <w:rsid w:val="00E81FC8"/>
    <w:rsid w:val="00E83F86"/>
    <w:rsid w:val="00E84062"/>
    <w:rsid w:val="00E8519A"/>
    <w:rsid w:val="00E853C6"/>
    <w:rsid w:val="00E862E0"/>
    <w:rsid w:val="00E87766"/>
    <w:rsid w:val="00E87B4A"/>
    <w:rsid w:val="00E87CB8"/>
    <w:rsid w:val="00E90A29"/>
    <w:rsid w:val="00E919D4"/>
    <w:rsid w:val="00E93552"/>
    <w:rsid w:val="00E93D80"/>
    <w:rsid w:val="00E94A5C"/>
    <w:rsid w:val="00E95CE9"/>
    <w:rsid w:val="00E963AF"/>
    <w:rsid w:val="00E96F3A"/>
    <w:rsid w:val="00EA0322"/>
    <w:rsid w:val="00EA133B"/>
    <w:rsid w:val="00EA209B"/>
    <w:rsid w:val="00EA23F0"/>
    <w:rsid w:val="00EA3BEE"/>
    <w:rsid w:val="00EA428A"/>
    <w:rsid w:val="00EA5F5C"/>
    <w:rsid w:val="00EA63C3"/>
    <w:rsid w:val="00EA6433"/>
    <w:rsid w:val="00EA7154"/>
    <w:rsid w:val="00EA7BC8"/>
    <w:rsid w:val="00EA7EB3"/>
    <w:rsid w:val="00EB2588"/>
    <w:rsid w:val="00EB269A"/>
    <w:rsid w:val="00EB34C5"/>
    <w:rsid w:val="00EB46FB"/>
    <w:rsid w:val="00EB4ED4"/>
    <w:rsid w:val="00EB54D5"/>
    <w:rsid w:val="00EB6835"/>
    <w:rsid w:val="00EB6927"/>
    <w:rsid w:val="00EB7250"/>
    <w:rsid w:val="00EC0A96"/>
    <w:rsid w:val="00EC1DEB"/>
    <w:rsid w:val="00EC1F5A"/>
    <w:rsid w:val="00EC26DD"/>
    <w:rsid w:val="00EC351C"/>
    <w:rsid w:val="00EC513A"/>
    <w:rsid w:val="00EC5527"/>
    <w:rsid w:val="00EC6B09"/>
    <w:rsid w:val="00EC6BBD"/>
    <w:rsid w:val="00ED15CD"/>
    <w:rsid w:val="00ED389E"/>
    <w:rsid w:val="00ED4407"/>
    <w:rsid w:val="00ED4B78"/>
    <w:rsid w:val="00ED4C79"/>
    <w:rsid w:val="00ED50CF"/>
    <w:rsid w:val="00ED77FC"/>
    <w:rsid w:val="00EE2291"/>
    <w:rsid w:val="00EE22F2"/>
    <w:rsid w:val="00EE23B5"/>
    <w:rsid w:val="00EE2D35"/>
    <w:rsid w:val="00EE346F"/>
    <w:rsid w:val="00EE3FB0"/>
    <w:rsid w:val="00EE57DD"/>
    <w:rsid w:val="00EE7907"/>
    <w:rsid w:val="00EF0F50"/>
    <w:rsid w:val="00EF226A"/>
    <w:rsid w:val="00EF2794"/>
    <w:rsid w:val="00EF2AC8"/>
    <w:rsid w:val="00EF4804"/>
    <w:rsid w:val="00EF56DF"/>
    <w:rsid w:val="00EF62B4"/>
    <w:rsid w:val="00EF7926"/>
    <w:rsid w:val="00F002DB"/>
    <w:rsid w:val="00F0074A"/>
    <w:rsid w:val="00F00D8A"/>
    <w:rsid w:val="00F01361"/>
    <w:rsid w:val="00F014E5"/>
    <w:rsid w:val="00F01A3A"/>
    <w:rsid w:val="00F020CC"/>
    <w:rsid w:val="00F02706"/>
    <w:rsid w:val="00F0331D"/>
    <w:rsid w:val="00F052A9"/>
    <w:rsid w:val="00F05EA2"/>
    <w:rsid w:val="00F07AF3"/>
    <w:rsid w:val="00F07E22"/>
    <w:rsid w:val="00F07F9C"/>
    <w:rsid w:val="00F10A1F"/>
    <w:rsid w:val="00F10B4F"/>
    <w:rsid w:val="00F10ED7"/>
    <w:rsid w:val="00F114D2"/>
    <w:rsid w:val="00F11546"/>
    <w:rsid w:val="00F13AC2"/>
    <w:rsid w:val="00F140AD"/>
    <w:rsid w:val="00F14C2D"/>
    <w:rsid w:val="00F15A56"/>
    <w:rsid w:val="00F15B51"/>
    <w:rsid w:val="00F15DE8"/>
    <w:rsid w:val="00F16309"/>
    <w:rsid w:val="00F17901"/>
    <w:rsid w:val="00F17FDD"/>
    <w:rsid w:val="00F200D9"/>
    <w:rsid w:val="00F20513"/>
    <w:rsid w:val="00F21C64"/>
    <w:rsid w:val="00F24BB9"/>
    <w:rsid w:val="00F266C6"/>
    <w:rsid w:val="00F26B5E"/>
    <w:rsid w:val="00F26FF8"/>
    <w:rsid w:val="00F2799F"/>
    <w:rsid w:val="00F30EE1"/>
    <w:rsid w:val="00F31330"/>
    <w:rsid w:val="00F32306"/>
    <w:rsid w:val="00F33EF1"/>
    <w:rsid w:val="00F340D7"/>
    <w:rsid w:val="00F35817"/>
    <w:rsid w:val="00F35860"/>
    <w:rsid w:val="00F35FE0"/>
    <w:rsid w:val="00F36835"/>
    <w:rsid w:val="00F36B4E"/>
    <w:rsid w:val="00F36BC0"/>
    <w:rsid w:val="00F378E1"/>
    <w:rsid w:val="00F400C8"/>
    <w:rsid w:val="00F4137D"/>
    <w:rsid w:val="00F41526"/>
    <w:rsid w:val="00F41FEA"/>
    <w:rsid w:val="00F4229D"/>
    <w:rsid w:val="00F43791"/>
    <w:rsid w:val="00F44BA9"/>
    <w:rsid w:val="00F45D57"/>
    <w:rsid w:val="00F45E27"/>
    <w:rsid w:val="00F47389"/>
    <w:rsid w:val="00F47402"/>
    <w:rsid w:val="00F52311"/>
    <w:rsid w:val="00F52DCC"/>
    <w:rsid w:val="00F531CC"/>
    <w:rsid w:val="00F542A4"/>
    <w:rsid w:val="00F55663"/>
    <w:rsid w:val="00F57F04"/>
    <w:rsid w:val="00F602E2"/>
    <w:rsid w:val="00F603AA"/>
    <w:rsid w:val="00F6059D"/>
    <w:rsid w:val="00F6096A"/>
    <w:rsid w:val="00F60BE5"/>
    <w:rsid w:val="00F61556"/>
    <w:rsid w:val="00F622B1"/>
    <w:rsid w:val="00F62C25"/>
    <w:rsid w:val="00F643FE"/>
    <w:rsid w:val="00F64D73"/>
    <w:rsid w:val="00F65603"/>
    <w:rsid w:val="00F65792"/>
    <w:rsid w:val="00F6584B"/>
    <w:rsid w:val="00F668E0"/>
    <w:rsid w:val="00F66E56"/>
    <w:rsid w:val="00F72616"/>
    <w:rsid w:val="00F728CB"/>
    <w:rsid w:val="00F74EC7"/>
    <w:rsid w:val="00F76B9F"/>
    <w:rsid w:val="00F77A6E"/>
    <w:rsid w:val="00F8064A"/>
    <w:rsid w:val="00F80A1C"/>
    <w:rsid w:val="00F81A11"/>
    <w:rsid w:val="00F81DD3"/>
    <w:rsid w:val="00F82317"/>
    <w:rsid w:val="00F82D71"/>
    <w:rsid w:val="00F85CE5"/>
    <w:rsid w:val="00F86DDA"/>
    <w:rsid w:val="00F8757B"/>
    <w:rsid w:val="00F87816"/>
    <w:rsid w:val="00F903AB"/>
    <w:rsid w:val="00F916AB"/>
    <w:rsid w:val="00F92B18"/>
    <w:rsid w:val="00F92BC5"/>
    <w:rsid w:val="00F947BC"/>
    <w:rsid w:val="00F959A8"/>
    <w:rsid w:val="00F96BA4"/>
    <w:rsid w:val="00F972F4"/>
    <w:rsid w:val="00F97CBD"/>
    <w:rsid w:val="00FA4283"/>
    <w:rsid w:val="00FA5623"/>
    <w:rsid w:val="00FB0D36"/>
    <w:rsid w:val="00FB40D8"/>
    <w:rsid w:val="00FB69DA"/>
    <w:rsid w:val="00FB6A74"/>
    <w:rsid w:val="00FB6FCB"/>
    <w:rsid w:val="00FB7059"/>
    <w:rsid w:val="00FB7965"/>
    <w:rsid w:val="00FC0094"/>
    <w:rsid w:val="00FC241A"/>
    <w:rsid w:val="00FC2CC3"/>
    <w:rsid w:val="00FC2FFE"/>
    <w:rsid w:val="00FC3E10"/>
    <w:rsid w:val="00FC458C"/>
    <w:rsid w:val="00FC4853"/>
    <w:rsid w:val="00FC5D4D"/>
    <w:rsid w:val="00FC69EE"/>
    <w:rsid w:val="00FD032A"/>
    <w:rsid w:val="00FD11C1"/>
    <w:rsid w:val="00FD131B"/>
    <w:rsid w:val="00FD17D8"/>
    <w:rsid w:val="00FD1F10"/>
    <w:rsid w:val="00FD272B"/>
    <w:rsid w:val="00FD327C"/>
    <w:rsid w:val="00FD473A"/>
    <w:rsid w:val="00FD49B8"/>
    <w:rsid w:val="00FD4D03"/>
    <w:rsid w:val="00FD58F1"/>
    <w:rsid w:val="00FD6A7E"/>
    <w:rsid w:val="00FD70AB"/>
    <w:rsid w:val="00FD71ED"/>
    <w:rsid w:val="00FD723F"/>
    <w:rsid w:val="00FE0B77"/>
    <w:rsid w:val="00FE1360"/>
    <w:rsid w:val="00FE14DA"/>
    <w:rsid w:val="00FE1F82"/>
    <w:rsid w:val="00FE2FCB"/>
    <w:rsid w:val="00FE587F"/>
    <w:rsid w:val="00FE5908"/>
    <w:rsid w:val="00FE6008"/>
    <w:rsid w:val="00FE6228"/>
    <w:rsid w:val="00FE6457"/>
    <w:rsid w:val="00FE6463"/>
    <w:rsid w:val="00FE7250"/>
    <w:rsid w:val="00FE778F"/>
    <w:rsid w:val="00FE7917"/>
    <w:rsid w:val="00FE7D78"/>
    <w:rsid w:val="00FF1AF7"/>
    <w:rsid w:val="00FF2DD9"/>
    <w:rsid w:val="00FF3C46"/>
    <w:rsid w:val="00FF433A"/>
    <w:rsid w:val="00FF4A4C"/>
    <w:rsid w:val="00FF4F57"/>
    <w:rsid w:val="00FF52C2"/>
    <w:rsid w:val="00FF5EFD"/>
    <w:rsid w:val="00FF6964"/>
    <w:rsid w:val="00FF7A87"/>
    <w:rsid w:val="00FF7E45"/>
    <w:rsid w:val="011B294C"/>
    <w:rsid w:val="012F605E"/>
    <w:rsid w:val="02060815"/>
    <w:rsid w:val="020A7C76"/>
    <w:rsid w:val="023D6B59"/>
    <w:rsid w:val="02881FB3"/>
    <w:rsid w:val="02A06DFD"/>
    <w:rsid w:val="02CC7E21"/>
    <w:rsid w:val="032962F0"/>
    <w:rsid w:val="032C3EAD"/>
    <w:rsid w:val="032C41E2"/>
    <w:rsid w:val="03A87018"/>
    <w:rsid w:val="03F72C1D"/>
    <w:rsid w:val="04274A9B"/>
    <w:rsid w:val="044A2950"/>
    <w:rsid w:val="055C05D5"/>
    <w:rsid w:val="05725D89"/>
    <w:rsid w:val="05CF66D1"/>
    <w:rsid w:val="05DF1533"/>
    <w:rsid w:val="06180451"/>
    <w:rsid w:val="062A3AA0"/>
    <w:rsid w:val="06504EE5"/>
    <w:rsid w:val="06680D99"/>
    <w:rsid w:val="06746AED"/>
    <w:rsid w:val="067750BB"/>
    <w:rsid w:val="06991905"/>
    <w:rsid w:val="06B82090"/>
    <w:rsid w:val="07087FF6"/>
    <w:rsid w:val="072827B9"/>
    <w:rsid w:val="07403B9C"/>
    <w:rsid w:val="078425E2"/>
    <w:rsid w:val="07AC5670"/>
    <w:rsid w:val="07AE3B59"/>
    <w:rsid w:val="07E23439"/>
    <w:rsid w:val="07E83383"/>
    <w:rsid w:val="084068B1"/>
    <w:rsid w:val="08736201"/>
    <w:rsid w:val="08BC62FE"/>
    <w:rsid w:val="08E15409"/>
    <w:rsid w:val="09342F68"/>
    <w:rsid w:val="099C12E4"/>
    <w:rsid w:val="09A62715"/>
    <w:rsid w:val="09C43C42"/>
    <w:rsid w:val="09D1504B"/>
    <w:rsid w:val="09E272FB"/>
    <w:rsid w:val="0A857AB0"/>
    <w:rsid w:val="0A8D71B4"/>
    <w:rsid w:val="0A9929FF"/>
    <w:rsid w:val="0B1E07D9"/>
    <w:rsid w:val="0B334A2A"/>
    <w:rsid w:val="0B5C2CE2"/>
    <w:rsid w:val="0B655444"/>
    <w:rsid w:val="0B930EC9"/>
    <w:rsid w:val="0C380B58"/>
    <w:rsid w:val="0C387300"/>
    <w:rsid w:val="0C616E23"/>
    <w:rsid w:val="0DDC3D40"/>
    <w:rsid w:val="0DE2644C"/>
    <w:rsid w:val="0E2E6BFA"/>
    <w:rsid w:val="0E7B2AB6"/>
    <w:rsid w:val="0E9813F8"/>
    <w:rsid w:val="0EEB5365"/>
    <w:rsid w:val="0F01193F"/>
    <w:rsid w:val="0F1D70A0"/>
    <w:rsid w:val="0F525C9A"/>
    <w:rsid w:val="0F8126F4"/>
    <w:rsid w:val="0F995EB7"/>
    <w:rsid w:val="0FCC03CD"/>
    <w:rsid w:val="0FE45283"/>
    <w:rsid w:val="1036463E"/>
    <w:rsid w:val="10D77AC7"/>
    <w:rsid w:val="113B56CD"/>
    <w:rsid w:val="115719D7"/>
    <w:rsid w:val="115A3367"/>
    <w:rsid w:val="11F10166"/>
    <w:rsid w:val="12127F19"/>
    <w:rsid w:val="121429C8"/>
    <w:rsid w:val="1219513F"/>
    <w:rsid w:val="12263EBD"/>
    <w:rsid w:val="1234365A"/>
    <w:rsid w:val="126F6EE5"/>
    <w:rsid w:val="12710F1A"/>
    <w:rsid w:val="12886DF0"/>
    <w:rsid w:val="12C13DE8"/>
    <w:rsid w:val="12C80E97"/>
    <w:rsid w:val="12CD777A"/>
    <w:rsid w:val="12D9121A"/>
    <w:rsid w:val="12EF6B68"/>
    <w:rsid w:val="12F103D6"/>
    <w:rsid w:val="133B6764"/>
    <w:rsid w:val="139948A7"/>
    <w:rsid w:val="13B15C0D"/>
    <w:rsid w:val="13D759B3"/>
    <w:rsid w:val="13F02C14"/>
    <w:rsid w:val="13F11B78"/>
    <w:rsid w:val="141C0EAF"/>
    <w:rsid w:val="14BC11D6"/>
    <w:rsid w:val="152A2227"/>
    <w:rsid w:val="164D0B41"/>
    <w:rsid w:val="168D4626"/>
    <w:rsid w:val="169876E1"/>
    <w:rsid w:val="169B1C44"/>
    <w:rsid w:val="16AD06C2"/>
    <w:rsid w:val="16E03D17"/>
    <w:rsid w:val="179E597B"/>
    <w:rsid w:val="17C609A0"/>
    <w:rsid w:val="180C2E88"/>
    <w:rsid w:val="18803647"/>
    <w:rsid w:val="189E061E"/>
    <w:rsid w:val="18C62560"/>
    <w:rsid w:val="18EA437E"/>
    <w:rsid w:val="19966474"/>
    <w:rsid w:val="19DE376D"/>
    <w:rsid w:val="19F673D9"/>
    <w:rsid w:val="1A0328D5"/>
    <w:rsid w:val="1A1D3BAA"/>
    <w:rsid w:val="1A276521"/>
    <w:rsid w:val="1ACC4DF4"/>
    <w:rsid w:val="1AD55200"/>
    <w:rsid w:val="1AE203DB"/>
    <w:rsid w:val="1AFD72D0"/>
    <w:rsid w:val="1B5468A1"/>
    <w:rsid w:val="1BAF4B0F"/>
    <w:rsid w:val="1C3835A3"/>
    <w:rsid w:val="1CA801E4"/>
    <w:rsid w:val="1CB035C0"/>
    <w:rsid w:val="1CD87C76"/>
    <w:rsid w:val="1CDF7B17"/>
    <w:rsid w:val="1D195C47"/>
    <w:rsid w:val="1D6C26EC"/>
    <w:rsid w:val="1D83739D"/>
    <w:rsid w:val="1D876D6F"/>
    <w:rsid w:val="1DFE2727"/>
    <w:rsid w:val="1E094549"/>
    <w:rsid w:val="1E3234CD"/>
    <w:rsid w:val="1EA24205"/>
    <w:rsid w:val="1EA6525D"/>
    <w:rsid w:val="1EAD2614"/>
    <w:rsid w:val="1EC41999"/>
    <w:rsid w:val="1EE26DEE"/>
    <w:rsid w:val="1EE66442"/>
    <w:rsid w:val="1F23237D"/>
    <w:rsid w:val="1F29358B"/>
    <w:rsid w:val="1F5A7916"/>
    <w:rsid w:val="1F9B621A"/>
    <w:rsid w:val="1FC31E56"/>
    <w:rsid w:val="1FE14161"/>
    <w:rsid w:val="202E1FA2"/>
    <w:rsid w:val="204E4B48"/>
    <w:rsid w:val="20891F31"/>
    <w:rsid w:val="20912094"/>
    <w:rsid w:val="20BF1C49"/>
    <w:rsid w:val="20DC0F13"/>
    <w:rsid w:val="20E15F42"/>
    <w:rsid w:val="210A7273"/>
    <w:rsid w:val="212A31B8"/>
    <w:rsid w:val="21353431"/>
    <w:rsid w:val="216D0F79"/>
    <w:rsid w:val="21B2690E"/>
    <w:rsid w:val="21DE043E"/>
    <w:rsid w:val="21EE7C76"/>
    <w:rsid w:val="21F80B46"/>
    <w:rsid w:val="22294CFF"/>
    <w:rsid w:val="22411890"/>
    <w:rsid w:val="227518B8"/>
    <w:rsid w:val="228A683C"/>
    <w:rsid w:val="228E62D2"/>
    <w:rsid w:val="22CC28AF"/>
    <w:rsid w:val="22E10CD2"/>
    <w:rsid w:val="23281A17"/>
    <w:rsid w:val="239F0AF1"/>
    <w:rsid w:val="23B178C6"/>
    <w:rsid w:val="23F815F8"/>
    <w:rsid w:val="242558A0"/>
    <w:rsid w:val="249F275A"/>
    <w:rsid w:val="24AD60FE"/>
    <w:rsid w:val="24C2124F"/>
    <w:rsid w:val="25304060"/>
    <w:rsid w:val="25915453"/>
    <w:rsid w:val="25A301F0"/>
    <w:rsid w:val="25EE4956"/>
    <w:rsid w:val="25F268CE"/>
    <w:rsid w:val="26126894"/>
    <w:rsid w:val="26537076"/>
    <w:rsid w:val="26874CC3"/>
    <w:rsid w:val="268C0EA3"/>
    <w:rsid w:val="26CD7E35"/>
    <w:rsid w:val="27153E14"/>
    <w:rsid w:val="27833CD0"/>
    <w:rsid w:val="27E83333"/>
    <w:rsid w:val="282C34FD"/>
    <w:rsid w:val="287A059F"/>
    <w:rsid w:val="287C6826"/>
    <w:rsid w:val="28FF6137"/>
    <w:rsid w:val="294B6EB2"/>
    <w:rsid w:val="297945F6"/>
    <w:rsid w:val="29B66966"/>
    <w:rsid w:val="2A9806ED"/>
    <w:rsid w:val="2AD930A0"/>
    <w:rsid w:val="2AF17143"/>
    <w:rsid w:val="2B0466FF"/>
    <w:rsid w:val="2B74008E"/>
    <w:rsid w:val="2C2C7B16"/>
    <w:rsid w:val="2C727815"/>
    <w:rsid w:val="2C860A99"/>
    <w:rsid w:val="2CDB5DF0"/>
    <w:rsid w:val="2D432AA0"/>
    <w:rsid w:val="2DE26ABF"/>
    <w:rsid w:val="2DF2303F"/>
    <w:rsid w:val="2E53525E"/>
    <w:rsid w:val="2E9A6EFE"/>
    <w:rsid w:val="2EAF4BEF"/>
    <w:rsid w:val="2EBD118B"/>
    <w:rsid w:val="2ECB2D8B"/>
    <w:rsid w:val="2F013036"/>
    <w:rsid w:val="2F066DCC"/>
    <w:rsid w:val="2F573488"/>
    <w:rsid w:val="2F6055BF"/>
    <w:rsid w:val="3013615F"/>
    <w:rsid w:val="301B6B1B"/>
    <w:rsid w:val="3020729F"/>
    <w:rsid w:val="302537D8"/>
    <w:rsid w:val="304253CE"/>
    <w:rsid w:val="30C300CB"/>
    <w:rsid w:val="316E4F7B"/>
    <w:rsid w:val="31E51769"/>
    <w:rsid w:val="32103699"/>
    <w:rsid w:val="325451D8"/>
    <w:rsid w:val="325C6031"/>
    <w:rsid w:val="32930568"/>
    <w:rsid w:val="32D34B3A"/>
    <w:rsid w:val="32F43AFD"/>
    <w:rsid w:val="33733C9B"/>
    <w:rsid w:val="33D334C4"/>
    <w:rsid w:val="33E16DC7"/>
    <w:rsid w:val="340F1FED"/>
    <w:rsid w:val="348A4F30"/>
    <w:rsid w:val="34D21B70"/>
    <w:rsid w:val="350A7538"/>
    <w:rsid w:val="351D3EC5"/>
    <w:rsid w:val="3530082C"/>
    <w:rsid w:val="355361E0"/>
    <w:rsid w:val="358F10B1"/>
    <w:rsid w:val="359F6BD7"/>
    <w:rsid w:val="35E3091E"/>
    <w:rsid w:val="36250321"/>
    <w:rsid w:val="363D42BB"/>
    <w:rsid w:val="36434CAB"/>
    <w:rsid w:val="365433D8"/>
    <w:rsid w:val="366B0E3A"/>
    <w:rsid w:val="36701EAB"/>
    <w:rsid w:val="36F47AFA"/>
    <w:rsid w:val="37022AE0"/>
    <w:rsid w:val="378151B6"/>
    <w:rsid w:val="379E7559"/>
    <w:rsid w:val="37E10759"/>
    <w:rsid w:val="38463385"/>
    <w:rsid w:val="388472F8"/>
    <w:rsid w:val="38DE3088"/>
    <w:rsid w:val="38EE1325"/>
    <w:rsid w:val="38EF7F2C"/>
    <w:rsid w:val="38FC5F79"/>
    <w:rsid w:val="38FC72B4"/>
    <w:rsid w:val="39C166A6"/>
    <w:rsid w:val="3A00416C"/>
    <w:rsid w:val="3A2109DF"/>
    <w:rsid w:val="3A8D4DC9"/>
    <w:rsid w:val="3AC26820"/>
    <w:rsid w:val="3B110104"/>
    <w:rsid w:val="3B1D6499"/>
    <w:rsid w:val="3B6B377F"/>
    <w:rsid w:val="3C0E5A98"/>
    <w:rsid w:val="3C5A104A"/>
    <w:rsid w:val="3C5D49F0"/>
    <w:rsid w:val="3C6A01BC"/>
    <w:rsid w:val="3C89317D"/>
    <w:rsid w:val="3CCC438D"/>
    <w:rsid w:val="3D03745C"/>
    <w:rsid w:val="3D175C19"/>
    <w:rsid w:val="3D26500D"/>
    <w:rsid w:val="3D2A2C48"/>
    <w:rsid w:val="3D3719B0"/>
    <w:rsid w:val="3D5E5818"/>
    <w:rsid w:val="3D6D27E2"/>
    <w:rsid w:val="3E157634"/>
    <w:rsid w:val="3E63691A"/>
    <w:rsid w:val="3E854EB1"/>
    <w:rsid w:val="3E9E2450"/>
    <w:rsid w:val="3EBB5A30"/>
    <w:rsid w:val="3EFA5FE1"/>
    <w:rsid w:val="3F04518C"/>
    <w:rsid w:val="3FC65E7F"/>
    <w:rsid w:val="3FF35220"/>
    <w:rsid w:val="400C72F0"/>
    <w:rsid w:val="404E707C"/>
    <w:rsid w:val="40555DCC"/>
    <w:rsid w:val="40C21AE7"/>
    <w:rsid w:val="41686F0A"/>
    <w:rsid w:val="41B62CC7"/>
    <w:rsid w:val="41FC721D"/>
    <w:rsid w:val="42122875"/>
    <w:rsid w:val="421D0A42"/>
    <w:rsid w:val="423038EE"/>
    <w:rsid w:val="423A4445"/>
    <w:rsid w:val="42A1693C"/>
    <w:rsid w:val="42C8734A"/>
    <w:rsid w:val="42EA170C"/>
    <w:rsid w:val="42EC22CB"/>
    <w:rsid w:val="43612517"/>
    <w:rsid w:val="437A38AC"/>
    <w:rsid w:val="43E91929"/>
    <w:rsid w:val="44435E31"/>
    <w:rsid w:val="44510B62"/>
    <w:rsid w:val="44666EEF"/>
    <w:rsid w:val="44963E54"/>
    <w:rsid w:val="44AA6DD9"/>
    <w:rsid w:val="44B203E4"/>
    <w:rsid w:val="44C3436B"/>
    <w:rsid w:val="45162177"/>
    <w:rsid w:val="45611833"/>
    <w:rsid w:val="456157D1"/>
    <w:rsid w:val="45656FC2"/>
    <w:rsid w:val="45AE6788"/>
    <w:rsid w:val="45EF389F"/>
    <w:rsid w:val="45FF4C67"/>
    <w:rsid w:val="46C35BB9"/>
    <w:rsid w:val="46E80831"/>
    <w:rsid w:val="46E94EBD"/>
    <w:rsid w:val="46F410B1"/>
    <w:rsid w:val="471D39F3"/>
    <w:rsid w:val="472D0D05"/>
    <w:rsid w:val="47B335FE"/>
    <w:rsid w:val="48601F80"/>
    <w:rsid w:val="487E34EC"/>
    <w:rsid w:val="48DD1F8E"/>
    <w:rsid w:val="48F84EFD"/>
    <w:rsid w:val="490F3C11"/>
    <w:rsid w:val="49B648AD"/>
    <w:rsid w:val="49D73E29"/>
    <w:rsid w:val="4A2E43C5"/>
    <w:rsid w:val="4A877887"/>
    <w:rsid w:val="4A9039A8"/>
    <w:rsid w:val="4B3510ED"/>
    <w:rsid w:val="4B3C5B1D"/>
    <w:rsid w:val="4B426EAD"/>
    <w:rsid w:val="4B774600"/>
    <w:rsid w:val="4BAF5464"/>
    <w:rsid w:val="4BB21E26"/>
    <w:rsid w:val="4BD4211F"/>
    <w:rsid w:val="4C195358"/>
    <w:rsid w:val="4C8E1DAB"/>
    <w:rsid w:val="4CA02A52"/>
    <w:rsid w:val="4CA44BD6"/>
    <w:rsid w:val="4CAF6AD2"/>
    <w:rsid w:val="4CCF083F"/>
    <w:rsid w:val="4CFC5D0A"/>
    <w:rsid w:val="4D02427D"/>
    <w:rsid w:val="4D026F96"/>
    <w:rsid w:val="4D1F1490"/>
    <w:rsid w:val="4D811CD8"/>
    <w:rsid w:val="4DA31532"/>
    <w:rsid w:val="4DE028C1"/>
    <w:rsid w:val="4DEF4CF4"/>
    <w:rsid w:val="4E275F7D"/>
    <w:rsid w:val="4E5325C5"/>
    <w:rsid w:val="4EA03A19"/>
    <w:rsid w:val="4EB1172D"/>
    <w:rsid w:val="4EB3490C"/>
    <w:rsid w:val="4EDA35E4"/>
    <w:rsid w:val="4EDA649B"/>
    <w:rsid w:val="4F944E03"/>
    <w:rsid w:val="4FA570C5"/>
    <w:rsid w:val="4FCA5CB3"/>
    <w:rsid w:val="4FD8221D"/>
    <w:rsid w:val="50056EB3"/>
    <w:rsid w:val="500A265E"/>
    <w:rsid w:val="505F7E32"/>
    <w:rsid w:val="509B68F6"/>
    <w:rsid w:val="509F5160"/>
    <w:rsid w:val="50A2296C"/>
    <w:rsid w:val="50D900FC"/>
    <w:rsid w:val="50FA0B55"/>
    <w:rsid w:val="51385495"/>
    <w:rsid w:val="513F71E1"/>
    <w:rsid w:val="51743385"/>
    <w:rsid w:val="51765D49"/>
    <w:rsid w:val="51925C78"/>
    <w:rsid w:val="51A2432A"/>
    <w:rsid w:val="51AE0B30"/>
    <w:rsid w:val="52092FB4"/>
    <w:rsid w:val="52174E31"/>
    <w:rsid w:val="521C3F3B"/>
    <w:rsid w:val="522A6CAE"/>
    <w:rsid w:val="525B71C6"/>
    <w:rsid w:val="526C0198"/>
    <w:rsid w:val="52721288"/>
    <w:rsid w:val="52917A7D"/>
    <w:rsid w:val="52961B7C"/>
    <w:rsid w:val="52E3538D"/>
    <w:rsid w:val="52FC4A09"/>
    <w:rsid w:val="53262AD3"/>
    <w:rsid w:val="53474514"/>
    <w:rsid w:val="542D2138"/>
    <w:rsid w:val="5445752C"/>
    <w:rsid w:val="54B80853"/>
    <w:rsid w:val="55006ADE"/>
    <w:rsid w:val="550F7C86"/>
    <w:rsid w:val="551E1E76"/>
    <w:rsid w:val="556E1667"/>
    <w:rsid w:val="558019FC"/>
    <w:rsid w:val="55CD115F"/>
    <w:rsid w:val="55D469DF"/>
    <w:rsid w:val="561644E5"/>
    <w:rsid w:val="569F7FB8"/>
    <w:rsid w:val="56CF1BB9"/>
    <w:rsid w:val="570A0FC8"/>
    <w:rsid w:val="571334C1"/>
    <w:rsid w:val="57270BC0"/>
    <w:rsid w:val="574C6C56"/>
    <w:rsid w:val="5762518E"/>
    <w:rsid w:val="577B76A8"/>
    <w:rsid w:val="5791760B"/>
    <w:rsid w:val="57951BDB"/>
    <w:rsid w:val="57A04A26"/>
    <w:rsid w:val="57BA446B"/>
    <w:rsid w:val="57EB308F"/>
    <w:rsid w:val="58EF6272"/>
    <w:rsid w:val="59295BF0"/>
    <w:rsid w:val="59624C0A"/>
    <w:rsid w:val="597E473D"/>
    <w:rsid w:val="59B464B5"/>
    <w:rsid w:val="59B76FDE"/>
    <w:rsid w:val="59EC4A62"/>
    <w:rsid w:val="59F06636"/>
    <w:rsid w:val="5A1F7D65"/>
    <w:rsid w:val="5A4C6012"/>
    <w:rsid w:val="5A5C285E"/>
    <w:rsid w:val="5ADF23F3"/>
    <w:rsid w:val="5AFB1409"/>
    <w:rsid w:val="5B172E68"/>
    <w:rsid w:val="5B6E3E52"/>
    <w:rsid w:val="5BAA0409"/>
    <w:rsid w:val="5BCA7E93"/>
    <w:rsid w:val="5BD4004B"/>
    <w:rsid w:val="5BED7C84"/>
    <w:rsid w:val="5C2B161B"/>
    <w:rsid w:val="5C2B2355"/>
    <w:rsid w:val="5C7A4847"/>
    <w:rsid w:val="5CA80414"/>
    <w:rsid w:val="5CCA322A"/>
    <w:rsid w:val="5CEE164E"/>
    <w:rsid w:val="5E0C6DD0"/>
    <w:rsid w:val="5E2A7B26"/>
    <w:rsid w:val="5E2B17A6"/>
    <w:rsid w:val="5EF67EFB"/>
    <w:rsid w:val="5F751E60"/>
    <w:rsid w:val="5FD66919"/>
    <w:rsid w:val="5FE17227"/>
    <w:rsid w:val="602B2ADA"/>
    <w:rsid w:val="605516FE"/>
    <w:rsid w:val="60911398"/>
    <w:rsid w:val="60A070A6"/>
    <w:rsid w:val="60EB3531"/>
    <w:rsid w:val="61037FC0"/>
    <w:rsid w:val="61196A41"/>
    <w:rsid w:val="613826AF"/>
    <w:rsid w:val="613F67ED"/>
    <w:rsid w:val="614C546C"/>
    <w:rsid w:val="61CD679E"/>
    <w:rsid w:val="61F22D50"/>
    <w:rsid w:val="623A519F"/>
    <w:rsid w:val="628912DB"/>
    <w:rsid w:val="628D4783"/>
    <w:rsid w:val="628D6AED"/>
    <w:rsid w:val="62C70B85"/>
    <w:rsid w:val="62CE4BF2"/>
    <w:rsid w:val="62DC56FB"/>
    <w:rsid w:val="63177F61"/>
    <w:rsid w:val="632270BB"/>
    <w:rsid w:val="63A05D9B"/>
    <w:rsid w:val="63AC0532"/>
    <w:rsid w:val="640D4DB0"/>
    <w:rsid w:val="64594AFE"/>
    <w:rsid w:val="64C32BE3"/>
    <w:rsid w:val="64DA6EFC"/>
    <w:rsid w:val="651E4B07"/>
    <w:rsid w:val="656422B3"/>
    <w:rsid w:val="65722CDC"/>
    <w:rsid w:val="65851207"/>
    <w:rsid w:val="65B45C84"/>
    <w:rsid w:val="65DE0030"/>
    <w:rsid w:val="66126798"/>
    <w:rsid w:val="661F0264"/>
    <w:rsid w:val="6656609A"/>
    <w:rsid w:val="66786B7F"/>
    <w:rsid w:val="66CC7DF6"/>
    <w:rsid w:val="67052518"/>
    <w:rsid w:val="67191D02"/>
    <w:rsid w:val="67517DFF"/>
    <w:rsid w:val="6791419F"/>
    <w:rsid w:val="679B38AB"/>
    <w:rsid w:val="67E7336B"/>
    <w:rsid w:val="681E2882"/>
    <w:rsid w:val="683F63E8"/>
    <w:rsid w:val="69044DDB"/>
    <w:rsid w:val="69114C17"/>
    <w:rsid w:val="69216149"/>
    <w:rsid w:val="69697C0F"/>
    <w:rsid w:val="699569D2"/>
    <w:rsid w:val="69A37235"/>
    <w:rsid w:val="6A341D6B"/>
    <w:rsid w:val="6A901BDB"/>
    <w:rsid w:val="6ABE700E"/>
    <w:rsid w:val="6AD75FAE"/>
    <w:rsid w:val="6B282F07"/>
    <w:rsid w:val="6B4F53FD"/>
    <w:rsid w:val="6B6F6D0D"/>
    <w:rsid w:val="6B87781F"/>
    <w:rsid w:val="6B9F1762"/>
    <w:rsid w:val="6BC5359E"/>
    <w:rsid w:val="6C066211"/>
    <w:rsid w:val="6CD8278F"/>
    <w:rsid w:val="6CE55983"/>
    <w:rsid w:val="6D686EF3"/>
    <w:rsid w:val="6D6B3390"/>
    <w:rsid w:val="6DC35F80"/>
    <w:rsid w:val="6E1034CB"/>
    <w:rsid w:val="6E735CF5"/>
    <w:rsid w:val="6EFF5132"/>
    <w:rsid w:val="6F3F1D16"/>
    <w:rsid w:val="6F5F52F2"/>
    <w:rsid w:val="6F9456D5"/>
    <w:rsid w:val="702657B6"/>
    <w:rsid w:val="706529C9"/>
    <w:rsid w:val="71353F41"/>
    <w:rsid w:val="726314FE"/>
    <w:rsid w:val="727232E0"/>
    <w:rsid w:val="72892CF6"/>
    <w:rsid w:val="72A67E0C"/>
    <w:rsid w:val="72CE3112"/>
    <w:rsid w:val="73295B43"/>
    <w:rsid w:val="733C7067"/>
    <w:rsid w:val="737F5BEF"/>
    <w:rsid w:val="738E4054"/>
    <w:rsid w:val="73CD5BCD"/>
    <w:rsid w:val="73E9788B"/>
    <w:rsid w:val="740B14D9"/>
    <w:rsid w:val="741722D4"/>
    <w:rsid w:val="743659DB"/>
    <w:rsid w:val="748D57C5"/>
    <w:rsid w:val="74E07A33"/>
    <w:rsid w:val="74ED6C79"/>
    <w:rsid w:val="752343D5"/>
    <w:rsid w:val="752363B8"/>
    <w:rsid w:val="75421D7A"/>
    <w:rsid w:val="756038AD"/>
    <w:rsid w:val="75A16944"/>
    <w:rsid w:val="75BB63F1"/>
    <w:rsid w:val="760A7463"/>
    <w:rsid w:val="765E6498"/>
    <w:rsid w:val="76790A13"/>
    <w:rsid w:val="768A1DE3"/>
    <w:rsid w:val="769B7F2C"/>
    <w:rsid w:val="769E23BE"/>
    <w:rsid w:val="76AF73F6"/>
    <w:rsid w:val="77293AD0"/>
    <w:rsid w:val="778441D7"/>
    <w:rsid w:val="77BB2167"/>
    <w:rsid w:val="78095066"/>
    <w:rsid w:val="78315BCB"/>
    <w:rsid w:val="78A03CFD"/>
    <w:rsid w:val="78C31FDA"/>
    <w:rsid w:val="78F20AD1"/>
    <w:rsid w:val="78F319B2"/>
    <w:rsid w:val="799B6CE6"/>
    <w:rsid w:val="7A0E4D36"/>
    <w:rsid w:val="7A1C13E4"/>
    <w:rsid w:val="7A276F37"/>
    <w:rsid w:val="7AD20BEF"/>
    <w:rsid w:val="7B0E0737"/>
    <w:rsid w:val="7B454847"/>
    <w:rsid w:val="7B4F3EB9"/>
    <w:rsid w:val="7B5F061A"/>
    <w:rsid w:val="7B9372A3"/>
    <w:rsid w:val="7BC46A84"/>
    <w:rsid w:val="7C4C7CA3"/>
    <w:rsid w:val="7C860402"/>
    <w:rsid w:val="7CBD36F6"/>
    <w:rsid w:val="7CDF340B"/>
    <w:rsid w:val="7D005557"/>
    <w:rsid w:val="7D0C2918"/>
    <w:rsid w:val="7D1E330A"/>
    <w:rsid w:val="7D351003"/>
    <w:rsid w:val="7D4170B0"/>
    <w:rsid w:val="7D91125D"/>
    <w:rsid w:val="7D9D5E9E"/>
    <w:rsid w:val="7DA04C82"/>
    <w:rsid w:val="7E237953"/>
    <w:rsid w:val="7E7B667B"/>
    <w:rsid w:val="7E815F76"/>
    <w:rsid w:val="7ED10F64"/>
    <w:rsid w:val="7EE73F0F"/>
    <w:rsid w:val="7F0406A8"/>
    <w:rsid w:val="7F1C102F"/>
    <w:rsid w:val="7F72320C"/>
    <w:rsid w:val="7FCD250F"/>
    <w:rsid w:val="7FE62C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iPriority="0" w:name="List 2"/>
    <w:lsdException w:qFormat="1"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0" w:semiHidden="0"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jc w:val="both"/>
    </w:pPr>
    <w:rPr>
      <w:rFonts w:ascii="Times New Roman" w:hAnsi="Times New Roman" w:eastAsia="等线" w:cs="Times New Roman"/>
      <w:sz w:val="24"/>
      <w:szCs w:val="24"/>
      <w:lang w:val="en-US" w:eastAsia="ko-KR" w:bidi="ar-SA"/>
    </w:rPr>
  </w:style>
  <w:style w:type="paragraph" w:styleId="2">
    <w:name w:val="heading 1"/>
    <w:next w:val="1"/>
    <w:qFormat/>
    <w:uiPriority w:val="9"/>
    <w:pPr>
      <w:keepNext/>
      <w:keepLines/>
      <w:numPr>
        <w:ilvl w:val="0"/>
        <w:numId w:val="1"/>
      </w:numPr>
      <w:tabs>
        <w:tab w:val="left" w:pos="0"/>
        <w:tab w:val="left" w:pos="426"/>
      </w:tabs>
      <w:suppressAutoHyphens/>
      <w:overflowPunct w:val="0"/>
      <w:autoSpaceDE w:val="0"/>
      <w:autoSpaceDN w:val="0"/>
      <w:spacing w:before="360" w:after="120" w:line="288" w:lineRule="auto"/>
      <w:jc w:val="both"/>
      <w:textAlignment w:val="baseline"/>
      <w:outlineLvl w:val="0"/>
    </w:pPr>
    <w:rPr>
      <w:rFonts w:ascii="Arial" w:hAnsi="Arial" w:eastAsia="Batang" w:cs="Times New Roman"/>
      <w:sz w:val="32"/>
      <w:szCs w:val="32"/>
      <w:lang w:val="en-GB" w:eastAsia="ko-KR" w:bidi="ar-SA"/>
    </w:rPr>
  </w:style>
  <w:style w:type="paragraph" w:styleId="3">
    <w:name w:val="heading 2"/>
    <w:basedOn w:val="1"/>
    <w:next w:val="1"/>
    <w:qFormat/>
    <w:uiPriority w:val="9"/>
    <w:pPr>
      <w:keepNext/>
      <w:keepLines/>
      <w:spacing w:before="40"/>
      <w:outlineLvl w:val="1"/>
    </w:pPr>
    <w:rPr>
      <w:rFonts w:eastAsia="等线 Light"/>
      <w:sz w:val="28"/>
      <w:szCs w:val="26"/>
    </w:rPr>
  </w:style>
  <w:style w:type="paragraph" w:styleId="4">
    <w:name w:val="heading 3"/>
    <w:basedOn w:val="1"/>
    <w:next w:val="1"/>
    <w:qFormat/>
    <w:uiPriority w:val="9"/>
    <w:pPr>
      <w:keepNext/>
      <w:keepLines/>
      <w:spacing w:before="40"/>
      <w:outlineLvl w:val="2"/>
    </w:pPr>
    <w:rPr>
      <w:rFonts w:eastAsia="等线 Light"/>
      <w:color w:val="000000"/>
    </w:rPr>
  </w:style>
  <w:style w:type="paragraph" w:styleId="5">
    <w:name w:val="heading 4"/>
    <w:basedOn w:val="1"/>
    <w:next w:val="1"/>
    <w:link w:val="90"/>
    <w:semiHidden/>
    <w:unhideWhenUsed/>
    <w:qFormat/>
    <w:uiPriority w:val="0"/>
    <w:pPr>
      <w:keepNext/>
      <w:keepLines/>
      <w:spacing w:before="40"/>
      <w:outlineLvl w:val="3"/>
    </w:pPr>
    <w:rPr>
      <w:rFonts w:asciiTheme="majorHAnsi" w:hAnsiTheme="majorHAnsi" w:eastAsiaTheme="majorEastAsia" w:cstheme="majorBidi"/>
      <w:i/>
      <w:iCs/>
      <w:color w:val="376092" w:themeColor="accent1" w:themeShade="BF"/>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List 3"/>
    <w:basedOn w:val="1"/>
    <w:semiHidden/>
    <w:unhideWhenUsed/>
    <w:qFormat/>
    <w:uiPriority w:val="0"/>
    <w:pPr>
      <w:ind w:left="849" w:hanging="283"/>
      <w:contextualSpacing/>
    </w:pPr>
  </w:style>
  <w:style w:type="paragraph" w:styleId="7">
    <w:name w:val="caption"/>
    <w:basedOn w:val="1"/>
    <w:next w:val="1"/>
    <w:qFormat/>
    <w:uiPriority w:val="0"/>
    <w:pPr>
      <w:widowControl w:val="0"/>
      <w:wordWrap w:val="0"/>
      <w:autoSpaceDE w:val="0"/>
      <w:spacing w:line="256" w:lineRule="auto"/>
    </w:pPr>
    <w:rPr>
      <w:b/>
      <w:bCs/>
      <w:kern w:val="3"/>
      <w:sz w:val="20"/>
      <w:szCs w:val="20"/>
    </w:rPr>
  </w:style>
  <w:style w:type="paragraph" w:styleId="8">
    <w:name w:val="Document Map"/>
    <w:basedOn w:val="1"/>
    <w:qFormat/>
    <w:uiPriority w:val="0"/>
    <w:rPr>
      <w:rFonts w:ascii="宋体" w:hAnsi="宋体" w:eastAsia="宋体"/>
      <w:sz w:val="18"/>
      <w:szCs w:val="18"/>
    </w:rPr>
  </w:style>
  <w:style w:type="paragraph" w:styleId="9">
    <w:name w:val="annotation text"/>
    <w:basedOn w:val="1"/>
    <w:link w:val="99"/>
    <w:qFormat/>
    <w:uiPriority w:val="99"/>
    <w:rPr>
      <w:rFonts w:eastAsia="宋体"/>
      <w:sz w:val="20"/>
      <w:szCs w:val="20"/>
      <w:lang w:eastAsia="en-US"/>
    </w:rPr>
  </w:style>
  <w:style w:type="paragraph" w:styleId="10">
    <w:name w:val="Body Text"/>
    <w:basedOn w:val="1"/>
    <w:qFormat/>
    <w:uiPriority w:val="0"/>
    <w:pPr>
      <w:spacing w:after="120"/>
    </w:pPr>
  </w:style>
  <w:style w:type="paragraph" w:styleId="11">
    <w:name w:val="List 2"/>
    <w:basedOn w:val="12"/>
    <w:semiHidden/>
    <w:unhideWhenUsed/>
    <w:qFormat/>
    <w:uiPriority w:val="0"/>
    <w:pPr>
      <w:ind w:left="566"/>
      <w:contextualSpacing/>
    </w:pPr>
  </w:style>
  <w:style w:type="paragraph" w:styleId="12">
    <w:name w:val="List"/>
    <w:basedOn w:val="1"/>
    <w:qFormat/>
    <w:uiPriority w:val="0"/>
    <w:pPr>
      <w:ind w:left="283" w:hanging="283"/>
    </w:pPr>
  </w:style>
  <w:style w:type="paragraph" w:styleId="13">
    <w:name w:val="Balloon Text"/>
    <w:basedOn w:val="1"/>
    <w:qFormat/>
    <w:uiPriority w:val="0"/>
    <w:rPr>
      <w:rFonts w:ascii="Segoe UI" w:hAnsi="Segoe UI" w:eastAsia="宋体" w:cs="Segoe UI"/>
      <w:sz w:val="18"/>
      <w:szCs w:val="18"/>
      <w:lang w:eastAsia="en-US"/>
    </w:rPr>
  </w:style>
  <w:style w:type="paragraph" w:styleId="14">
    <w:name w:val="footer"/>
    <w:basedOn w:val="1"/>
    <w:qFormat/>
    <w:uiPriority w:val="0"/>
    <w:pPr>
      <w:tabs>
        <w:tab w:val="center" w:pos="4153"/>
        <w:tab w:val="right" w:pos="8306"/>
      </w:tabs>
      <w:snapToGrid w:val="0"/>
    </w:pPr>
    <w:rPr>
      <w:rFonts w:eastAsia="宋体"/>
      <w:sz w:val="18"/>
      <w:szCs w:val="18"/>
      <w:lang w:eastAsia="en-US"/>
    </w:rPr>
  </w:style>
  <w:style w:type="paragraph" w:styleId="15">
    <w:name w:val="header"/>
    <w:basedOn w:val="1"/>
    <w:qFormat/>
    <w:uiPriority w:val="0"/>
    <w:pPr>
      <w:pBdr>
        <w:bottom w:val="single" w:color="000000" w:sz="6" w:space="1"/>
      </w:pBdr>
      <w:tabs>
        <w:tab w:val="center" w:pos="4153"/>
        <w:tab w:val="right" w:pos="8306"/>
      </w:tabs>
      <w:snapToGrid w:val="0"/>
      <w:jc w:val="center"/>
    </w:pPr>
    <w:rPr>
      <w:rFonts w:eastAsia="宋体"/>
      <w:sz w:val="18"/>
      <w:szCs w:val="18"/>
      <w:lang w:eastAsia="en-US"/>
    </w:rPr>
  </w:style>
  <w:style w:type="paragraph" w:styleId="16">
    <w:name w:val="Normal (Web)"/>
    <w:basedOn w:val="1"/>
    <w:qFormat/>
    <w:uiPriority w:val="99"/>
    <w:pPr>
      <w:spacing w:before="100" w:after="100"/>
    </w:pPr>
    <w:rPr>
      <w:rFonts w:eastAsia="Times New Roman"/>
      <w:lang w:eastAsia="en-US"/>
    </w:rPr>
  </w:style>
  <w:style w:type="paragraph" w:styleId="17">
    <w:name w:val="annotation subject"/>
    <w:basedOn w:val="9"/>
    <w:next w:val="9"/>
    <w:qFormat/>
    <w:uiPriority w:val="0"/>
    <w:rPr>
      <w:b/>
      <w:bCs/>
    </w:rPr>
  </w:style>
  <w:style w:type="table" w:styleId="19">
    <w:name w:val="Table Grid"/>
    <w:basedOn w:val="18"/>
    <w:qFormat/>
    <w:uiPriority w:val="39"/>
    <w:rPr>
      <w:rFonts w:ascii="等线" w:hAnsi="等线"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qFormat/>
    <w:uiPriority w:val="22"/>
    <w:rPr>
      <w:b/>
      <w:bCs/>
    </w:rPr>
  </w:style>
  <w:style w:type="character" w:styleId="22">
    <w:name w:val="Emphasis"/>
    <w:basedOn w:val="20"/>
    <w:qFormat/>
    <w:uiPriority w:val="20"/>
    <w:rPr>
      <w:i/>
      <w:iCs/>
    </w:rPr>
  </w:style>
  <w:style w:type="character" w:styleId="23">
    <w:name w:val="Hyperlink"/>
    <w:basedOn w:val="20"/>
    <w:qFormat/>
    <w:uiPriority w:val="99"/>
    <w:rPr>
      <w:color w:val="0563C1"/>
      <w:u w:val="single"/>
    </w:rPr>
  </w:style>
  <w:style w:type="character" w:styleId="24">
    <w:name w:val="annotation reference"/>
    <w:basedOn w:val="20"/>
    <w:qFormat/>
    <w:uiPriority w:val="99"/>
    <w:rPr>
      <w:sz w:val="16"/>
      <w:szCs w:val="16"/>
    </w:rPr>
  </w:style>
  <w:style w:type="character" w:customStyle="1" w:styleId="25">
    <w:name w:val="批注框文本 字符"/>
    <w:basedOn w:val="20"/>
    <w:qFormat/>
    <w:uiPriority w:val="0"/>
    <w:rPr>
      <w:rFonts w:ascii="Segoe UI" w:hAnsi="Segoe UI" w:cs="Segoe UI"/>
      <w:sz w:val="18"/>
      <w:szCs w:val="18"/>
    </w:rPr>
  </w:style>
  <w:style w:type="paragraph" w:styleId="26">
    <w:name w:val="List Paragraph"/>
    <w:basedOn w:val="1"/>
    <w:link w:val="73"/>
    <w:qFormat/>
    <w:uiPriority w:val="34"/>
    <w:pPr>
      <w:spacing w:line="256" w:lineRule="auto"/>
      <w:ind w:left="720"/>
    </w:pPr>
    <w:rPr>
      <w:rFonts w:eastAsia="宋体"/>
      <w:lang w:eastAsia="en-US"/>
    </w:rPr>
  </w:style>
  <w:style w:type="character" w:customStyle="1" w:styleId="27">
    <w:name w:val="批注文字 字符"/>
    <w:basedOn w:val="20"/>
    <w:qFormat/>
    <w:uiPriority w:val="0"/>
    <w:rPr>
      <w:sz w:val="20"/>
      <w:szCs w:val="20"/>
    </w:rPr>
  </w:style>
  <w:style w:type="character" w:customStyle="1" w:styleId="28">
    <w:name w:val="批注主题 字符"/>
    <w:basedOn w:val="27"/>
    <w:qFormat/>
    <w:uiPriority w:val="0"/>
    <w:rPr>
      <w:b/>
      <w:bCs/>
      <w:sz w:val="20"/>
      <w:szCs w:val="20"/>
    </w:rPr>
  </w:style>
  <w:style w:type="character" w:customStyle="1" w:styleId="29">
    <w:name w:val="TAL Char"/>
    <w:basedOn w:val="20"/>
    <w:qFormat/>
    <w:uiPriority w:val="0"/>
    <w:rPr>
      <w:rFonts w:ascii="Arial" w:hAnsi="Arial" w:cs="Arial"/>
    </w:rPr>
  </w:style>
  <w:style w:type="paragraph" w:customStyle="1" w:styleId="30">
    <w:name w:val="TAL"/>
    <w:basedOn w:val="1"/>
    <w:link w:val="80"/>
    <w:qFormat/>
    <w:uiPriority w:val="0"/>
    <w:pPr>
      <w:keepNext/>
    </w:pPr>
    <w:rPr>
      <w:rFonts w:ascii="Arial" w:hAnsi="Arial" w:cs="Arial"/>
    </w:rPr>
  </w:style>
  <w:style w:type="character" w:customStyle="1" w:styleId="31">
    <w:name w:val="TAH Car"/>
    <w:basedOn w:val="20"/>
    <w:qFormat/>
    <w:uiPriority w:val="0"/>
    <w:rPr>
      <w:rFonts w:ascii="Arial" w:hAnsi="Arial" w:cs="Arial"/>
      <w:b/>
      <w:bCs/>
      <w:lang w:eastAsia="en-GB"/>
    </w:rPr>
  </w:style>
  <w:style w:type="paragraph" w:customStyle="1" w:styleId="32">
    <w:name w:val="TAH"/>
    <w:basedOn w:val="1"/>
    <w:qFormat/>
    <w:uiPriority w:val="0"/>
    <w:pPr>
      <w:keepNext/>
      <w:overflowPunct w:val="0"/>
      <w:autoSpaceDE w:val="0"/>
      <w:jc w:val="center"/>
    </w:pPr>
    <w:rPr>
      <w:rFonts w:ascii="Arial" w:hAnsi="Arial" w:cs="Arial"/>
      <w:b/>
      <w:bCs/>
      <w:lang w:eastAsia="en-GB"/>
    </w:rPr>
  </w:style>
  <w:style w:type="character" w:customStyle="1" w:styleId="33">
    <w:name w:val="页眉 字符"/>
    <w:basedOn w:val="20"/>
    <w:qFormat/>
    <w:uiPriority w:val="0"/>
    <w:rPr>
      <w:sz w:val="18"/>
      <w:szCs w:val="18"/>
    </w:rPr>
  </w:style>
  <w:style w:type="character" w:customStyle="1" w:styleId="34">
    <w:name w:val="页脚 字符"/>
    <w:basedOn w:val="20"/>
    <w:qFormat/>
    <w:uiPriority w:val="0"/>
    <w:rPr>
      <w:sz w:val="18"/>
      <w:szCs w:val="18"/>
    </w:rPr>
  </w:style>
  <w:style w:type="character" w:customStyle="1" w:styleId="35">
    <w:name w:val="列表段落 字符"/>
    <w:basedOn w:val="20"/>
    <w:qFormat/>
    <w:uiPriority w:val="0"/>
  </w:style>
  <w:style w:type="character" w:customStyle="1" w:styleId="36">
    <w:name w:val="normaltextrun"/>
    <w:basedOn w:val="20"/>
    <w:qFormat/>
    <w:uiPriority w:val="0"/>
    <w:rPr>
      <w:rFonts w:ascii="Times New Roman" w:hAnsi="Times New Roman" w:cs="Times New Roman"/>
    </w:rPr>
  </w:style>
  <w:style w:type="character" w:customStyle="1" w:styleId="37">
    <w:name w:val="eop"/>
    <w:basedOn w:val="20"/>
    <w:qFormat/>
    <w:uiPriority w:val="0"/>
    <w:rPr>
      <w:rFonts w:ascii="Times New Roman" w:hAnsi="Times New Roman" w:cs="Times New Roman"/>
    </w:rPr>
  </w:style>
  <w:style w:type="paragraph" w:customStyle="1" w:styleId="38">
    <w:name w:val="paragraph"/>
    <w:basedOn w:val="1"/>
    <w:qFormat/>
    <w:uiPriority w:val="0"/>
    <w:pPr>
      <w:spacing w:before="100" w:after="100"/>
    </w:pPr>
    <w:rPr>
      <w:rFonts w:eastAsia="Malgun Gothic"/>
      <w:lang w:eastAsia="en-US"/>
    </w:rPr>
  </w:style>
  <w:style w:type="paragraph" w:customStyle="1" w:styleId="39">
    <w:name w:val="修订1"/>
    <w:qFormat/>
    <w:uiPriority w:val="0"/>
    <w:pPr>
      <w:suppressAutoHyphens/>
      <w:autoSpaceDN w:val="0"/>
      <w:spacing w:after="160" w:line="259" w:lineRule="auto"/>
      <w:jc w:val="both"/>
      <w:textAlignment w:val="baseline"/>
    </w:pPr>
    <w:rPr>
      <w:rFonts w:ascii="Calibri" w:hAnsi="Calibri" w:eastAsia="等线" w:cs="Times New Roman"/>
      <w:sz w:val="22"/>
      <w:szCs w:val="22"/>
      <w:lang w:val="en-US" w:eastAsia="en-US" w:bidi="ar-SA"/>
    </w:rPr>
  </w:style>
  <w:style w:type="character" w:styleId="40">
    <w:name w:val="Placeholder Text"/>
    <w:basedOn w:val="20"/>
    <w:qFormat/>
    <w:uiPriority w:val="0"/>
    <w:rPr>
      <w:color w:val="808080"/>
    </w:rPr>
  </w:style>
  <w:style w:type="character" w:customStyle="1" w:styleId="41">
    <w:name w:val="标题 1 字符"/>
    <w:basedOn w:val="20"/>
    <w:qFormat/>
    <w:uiPriority w:val="0"/>
    <w:rPr>
      <w:rFonts w:ascii="Arial" w:hAnsi="Arial" w:eastAsia="Batang" w:cs="Times New Roman"/>
      <w:sz w:val="32"/>
      <w:szCs w:val="32"/>
      <w:lang w:val="en-GB" w:eastAsia="ko-KR"/>
    </w:rPr>
  </w:style>
  <w:style w:type="paragraph" w:customStyle="1" w:styleId="42">
    <w:name w:val="스타일 스타일 스타일 스타일 양쪽 첫 줄:  2 글자 + 첫 줄:  2 글자 + 첫 줄:  2 글자 + 첫 줄:  2..."/>
    <w:basedOn w:val="1"/>
    <w:qFormat/>
    <w:uiPriority w:val="0"/>
    <w:pPr>
      <w:spacing w:after="180" w:line="336" w:lineRule="auto"/>
      <w:ind w:firstLine="200"/>
    </w:pPr>
    <w:rPr>
      <w:rFonts w:eastAsia="Malgun Gothic" w:cs="Batang"/>
      <w:szCs w:val="20"/>
      <w:lang w:val="en-GB" w:eastAsia="en-US"/>
    </w:rPr>
  </w:style>
  <w:style w:type="character" w:customStyle="1" w:styleId="43">
    <w:name w:val="스타일 스타일 스타일 스타일 양쪽 첫 줄:  2 글자 + 첫 줄:  2 글자 + 첫 줄:  2 글자 + 첫 줄:  2... Char"/>
    <w:basedOn w:val="20"/>
    <w:qFormat/>
    <w:uiPriority w:val="0"/>
    <w:rPr>
      <w:rFonts w:ascii="Times New Roman" w:hAnsi="Times New Roman" w:eastAsia="Malgun Gothic" w:cs="Batang"/>
      <w:szCs w:val="20"/>
      <w:lang w:val="en-GB"/>
    </w:rPr>
  </w:style>
  <w:style w:type="paragraph" w:customStyle="1" w:styleId="44">
    <w:name w:val="proposal"/>
    <w:basedOn w:val="10"/>
    <w:next w:val="1"/>
    <w:qFormat/>
    <w:uiPriority w:val="0"/>
    <w:pPr>
      <w:numPr>
        <w:ilvl w:val="0"/>
        <w:numId w:val="2"/>
      </w:numPr>
    </w:pPr>
    <w:rPr>
      <w:rFonts w:eastAsia="宋体"/>
      <w:b/>
      <w:sz w:val="20"/>
      <w:szCs w:val="20"/>
      <w:lang w:eastAsia="zh-CN"/>
    </w:rPr>
  </w:style>
  <w:style w:type="paragraph" w:customStyle="1" w:styleId="45">
    <w:name w:val="bullet1"/>
    <w:basedOn w:val="1"/>
    <w:qFormat/>
    <w:uiPriority w:val="0"/>
    <w:pPr>
      <w:spacing w:after="120"/>
    </w:pPr>
    <w:rPr>
      <w:rFonts w:eastAsia="宋体"/>
      <w:sz w:val="20"/>
      <w:lang w:eastAsia="zh-CN"/>
    </w:rPr>
  </w:style>
  <w:style w:type="character" w:customStyle="1" w:styleId="46">
    <w:name w:val="proposal Char"/>
    <w:qFormat/>
    <w:uiPriority w:val="0"/>
    <w:rPr>
      <w:rFonts w:ascii="Times New Roman" w:hAnsi="Times New Roman" w:cs="Times New Roman"/>
      <w:b/>
      <w:sz w:val="20"/>
      <w:szCs w:val="20"/>
      <w:lang w:eastAsia="zh-CN"/>
    </w:rPr>
  </w:style>
  <w:style w:type="character" w:customStyle="1" w:styleId="47">
    <w:name w:val="bullet1 字符"/>
    <w:qFormat/>
    <w:uiPriority w:val="0"/>
    <w:rPr>
      <w:rFonts w:ascii="Times New Roman" w:hAnsi="Times New Roman" w:cs="Times New Roman"/>
      <w:sz w:val="20"/>
      <w:szCs w:val="24"/>
      <w:lang w:eastAsia="zh-CN"/>
    </w:rPr>
  </w:style>
  <w:style w:type="paragraph" w:customStyle="1" w:styleId="48">
    <w:name w:val="bullet2"/>
    <w:basedOn w:val="45"/>
    <w:qFormat/>
    <w:uiPriority w:val="0"/>
    <w:pPr>
      <w:ind w:left="1440" w:hanging="360"/>
    </w:pPr>
  </w:style>
  <w:style w:type="paragraph" w:customStyle="1" w:styleId="49">
    <w:name w:val="bullet3"/>
    <w:basedOn w:val="45"/>
    <w:qFormat/>
    <w:uiPriority w:val="0"/>
    <w:pPr>
      <w:numPr>
        <w:ilvl w:val="0"/>
        <w:numId w:val="3"/>
      </w:numPr>
      <w:tabs>
        <w:tab w:val="left" w:pos="360"/>
      </w:tabs>
    </w:pPr>
  </w:style>
  <w:style w:type="character" w:customStyle="1" w:styleId="50">
    <w:name w:val="正文文本 字符"/>
    <w:basedOn w:val="20"/>
    <w:qFormat/>
    <w:uiPriority w:val="0"/>
    <w:rPr>
      <w:rFonts w:ascii="Calibri" w:hAnsi="Calibri" w:eastAsia="等线" w:cs="Calibri"/>
      <w:lang w:eastAsia="ko-KR"/>
    </w:rPr>
  </w:style>
  <w:style w:type="character" w:customStyle="1" w:styleId="51">
    <w:name w:val="bullet2 字符"/>
    <w:basedOn w:val="47"/>
    <w:qFormat/>
    <w:uiPriority w:val="0"/>
    <w:rPr>
      <w:rFonts w:ascii="Times New Roman" w:hAnsi="Times New Roman" w:cs="Times New Roman"/>
      <w:sz w:val="20"/>
      <w:szCs w:val="24"/>
      <w:lang w:eastAsia="zh-CN"/>
    </w:rPr>
  </w:style>
  <w:style w:type="paragraph" w:customStyle="1" w:styleId="52">
    <w:name w:val="List Paragraph2"/>
    <w:basedOn w:val="1"/>
    <w:qFormat/>
    <w:uiPriority w:val="34"/>
    <w:pPr>
      <w:spacing w:after="200" w:line="276" w:lineRule="auto"/>
      <w:ind w:firstLine="420"/>
    </w:pPr>
    <w:rPr>
      <w:rFonts w:eastAsia="t"/>
      <w:sz w:val="20"/>
      <w:lang w:eastAsia="zh-CN"/>
    </w:rPr>
  </w:style>
  <w:style w:type="paragraph" w:customStyle="1" w:styleId="53">
    <w:name w:val="000_proposal"/>
    <w:basedOn w:val="1"/>
    <w:qFormat/>
    <w:uiPriority w:val="0"/>
    <w:pPr>
      <w:spacing w:before="120" w:after="120" w:line="264" w:lineRule="auto"/>
    </w:pPr>
    <w:rPr>
      <w:rFonts w:eastAsia="宋体"/>
      <w:b/>
      <w:bCs/>
      <w:i/>
      <w:iCs/>
      <w:sz w:val="20"/>
      <w:lang w:eastAsia="zh-CN"/>
    </w:rPr>
  </w:style>
  <w:style w:type="character" w:customStyle="1" w:styleId="54">
    <w:name w:val="000_proposal Char"/>
    <w:basedOn w:val="20"/>
    <w:qFormat/>
    <w:uiPriority w:val="0"/>
    <w:rPr>
      <w:rFonts w:ascii="Times New Roman" w:hAnsi="Times New Roman" w:cs="Times New Roman"/>
      <w:b/>
      <w:bCs/>
      <w:i/>
      <w:iCs/>
      <w:sz w:val="20"/>
      <w:szCs w:val="24"/>
      <w:lang w:eastAsia="zh-CN"/>
    </w:rPr>
  </w:style>
  <w:style w:type="paragraph" w:customStyle="1" w:styleId="55">
    <w:name w:val="00_Text"/>
    <w:basedOn w:val="1"/>
    <w:qFormat/>
    <w:uiPriority w:val="0"/>
    <w:pPr>
      <w:spacing w:before="120" w:after="120" w:line="264" w:lineRule="auto"/>
    </w:pPr>
    <w:rPr>
      <w:rFonts w:eastAsia="宋体"/>
      <w:sz w:val="20"/>
      <w:lang w:eastAsia="zh-CN"/>
    </w:rPr>
  </w:style>
  <w:style w:type="character" w:customStyle="1" w:styleId="56">
    <w:name w:val="00_Text Char"/>
    <w:basedOn w:val="20"/>
    <w:qFormat/>
    <w:uiPriority w:val="0"/>
    <w:rPr>
      <w:rFonts w:ascii="Times New Roman" w:hAnsi="Times New Roman" w:cs="Times New Roman"/>
      <w:sz w:val="20"/>
      <w:szCs w:val="24"/>
      <w:lang w:eastAsia="zh-CN"/>
    </w:rPr>
  </w:style>
  <w:style w:type="paragraph" w:customStyle="1" w:styleId="57">
    <w:name w:val="000_proposals"/>
    <w:basedOn w:val="55"/>
    <w:qFormat/>
    <w:uiPriority w:val="0"/>
    <w:pPr>
      <w:spacing w:before="0" w:line="240" w:lineRule="auto"/>
    </w:pPr>
    <w:rPr>
      <w:b/>
      <w:bCs/>
      <w:i/>
      <w:iCs/>
    </w:rPr>
  </w:style>
  <w:style w:type="character" w:customStyle="1" w:styleId="58">
    <w:name w:val="000_proposals Char"/>
    <w:basedOn w:val="56"/>
    <w:qFormat/>
    <w:uiPriority w:val="0"/>
    <w:rPr>
      <w:rFonts w:ascii="Times New Roman" w:hAnsi="Times New Roman" w:cs="Times New Roman"/>
      <w:b/>
      <w:bCs/>
      <w:i/>
      <w:iCs/>
      <w:sz w:val="20"/>
      <w:szCs w:val="24"/>
      <w:lang w:eastAsia="zh-CN"/>
    </w:rPr>
  </w:style>
  <w:style w:type="paragraph" w:customStyle="1" w:styleId="59">
    <w:name w:val="LGTdoc_본문"/>
    <w:basedOn w:val="1"/>
    <w:qFormat/>
    <w:uiPriority w:val="0"/>
    <w:pPr>
      <w:widowControl w:val="0"/>
      <w:autoSpaceDE w:val="0"/>
      <w:snapToGrid w:val="0"/>
      <w:spacing w:before="120" w:line="264" w:lineRule="auto"/>
    </w:pPr>
    <w:rPr>
      <w:rFonts w:eastAsia="Batang"/>
      <w:kern w:val="3"/>
      <w:lang w:val="en-GB"/>
    </w:rPr>
  </w:style>
  <w:style w:type="character" w:customStyle="1" w:styleId="60">
    <w:name w:val="LGTdoc_본문 Char"/>
    <w:qFormat/>
    <w:uiPriority w:val="0"/>
    <w:rPr>
      <w:rFonts w:ascii="Times New Roman" w:hAnsi="Times New Roman" w:eastAsia="Batang" w:cs="Times New Roman"/>
      <w:kern w:val="3"/>
      <w:szCs w:val="24"/>
      <w:lang w:val="en-GB" w:eastAsia="ko-KR"/>
    </w:rPr>
  </w:style>
  <w:style w:type="paragraph" w:customStyle="1" w:styleId="61">
    <w:name w:val="0 Main text"/>
    <w:basedOn w:val="1"/>
    <w:qFormat/>
    <w:uiPriority w:val="0"/>
    <w:pPr>
      <w:spacing w:after="100" w:line="288" w:lineRule="auto"/>
      <w:ind w:firstLine="360"/>
    </w:pPr>
    <w:rPr>
      <w:rFonts w:eastAsia="Times New Roman" w:cs="Batang"/>
      <w:sz w:val="20"/>
      <w:szCs w:val="20"/>
      <w:lang w:val="en-GB" w:eastAsia="en-US"/>
    </w:rPr>
  </w:style>
  <w:style w:type="character" w:customStyle="1" w:styleId="62">
    <w:name w:val="0 Main text Char"/>
    <w:basedOn w:val="20"/>
    <w:qFormat/>
    <w:uiPriority w:val="0"/>
    <w:rPr>
      <w:rFonts w:ascii="Times New Roman" w:hAnsi="Times New Roman" w:eastAsia="Times New Roman" w:cs="Batang"/>
      <w:sz w:val="20"/>
      <w:szCs w:val="20"/>
      <w:lang w:val="en-GB"/>
    </w:rPr>
  </w:style>
  <w:style w:type="paragraph" w:customStyle="1" w:styleId="63">
    <w:name w:val="LGTdoc_제목1"/>
    <w:basedOn w:val="1"/>
    <w:qFormat/>
    <w:uiPriority w:val="0"/>
    <w:pPr>
      <w:snapToGrid w:val="0"/>
      <w:spacing w:after="100"/>
    </w:pPr>
    <w:rPr>
      <w:rFonts w:eastAsia="Batang"/>
      <w:b/>
      <w:sz w:val="28"/>
      <w:szCs w:val="20"/>
      <w:lang w:val="en-GB"/>
    </w:rPr>
  </w:style>
  <w:style w:type="paragraph" w:customStyle="1" w:styleId="64">
    <w:name w:val="Proposal"/>
    <w:basedOn w:val="1"/>
    <w:qFormat/>
    <w:uiPriority w:val="0"/>
    <w:pPr>
      <w:numPr>
        <w:ilvl w:val="0"/>
        <w:numId w:val="4"/>
      </w:numPr>
      <w:tabs>
        <w:tab w:val="left" w:pos="0"/>
        <w:tab w:val="left" w:pos="397"/>
      </w:tabs>
      <w:overflowPunct w:val="0"/>
      <w:autoSpaceDE w:val="0"/>
    </w:pPr>
    <w:rPr>
      <w:rFonts w:eastAsia="Times New Roman"/>
      <w:b/>
      <w:bCs/>
      <w:sz w:val="20"/>
      <w:szCs w:val="20"/>
      <w:lang w:val="en-GB" w:eastAsia="zh-CN"/>
    </w:rPr>
  </w:style>
  <w:style w:type="paragraph" w:customStyle="1" w:styleId="65">
    <w:name w:val="列出段落2"/>
    <w:basedOn w:val="1"/>
    <w:qFormat/>
    <w:uiPriority w:val="34"/>
    <w:pPr>
      <w:spacing w:after="200" w:line="276" w:lineRule="auto"/>
      <w:ind w:firstLine="420"/>
    </w:pPr>
    <w:rPr>
      <w:rFonts w:eastAsia="t"/>
      <w:sz w:val="20"/>
      <w:lang w:eastAsia="zh-CN"/>
    </w:rPr>
  </w:style>
  <w:style w:type="character" w:customStyle="1" w:styleId="66">
    <w:name w:val="题注 字符"/>
    <w:qFormat/>
    <w:uiPriority w:val="0"/>
    <w:rPr>
      <w:rFonts w:eastAsia="等线"/>
      <w:b/>
      <w:bCs/>
      <w:kern w:val="3"/>
      <w:sz w:val="20"/>
      <w:szCs w:val="20"/>
      <w:lang w:eastAsia="ko-KR"/>
    </w:rPr>
  </w:style>
  <w:style w:type="character" w:customStyle="1" w:styleId="67">
    <w:name w:val="msoins2"/>
    <w:qFormat/>
    <w:uiPriority w:val="0"/>
  </w:style>
  <w:style w:type="character" w:customStyle="1" w:styleId="68">
    <w:name w:val="清單段落 字元"/>
    <w:basedOn w:val="20"/>
    <w:qFormat/>
    <w:uiPriority w:val="34"/>
    <w:rPr>
      <w:rFonts w:ascii="Calibri" w:hAnsi="Calibri" w:cs="Calibri"/>
    </w:rPr>
  </w:style>
  <w:style w:type="character" w:customStyle="1" w:styleId="69">
    <w:name w:val="标题 2 字符"/>
    <w:basedOn w:val="20"/>
    <w:qFormat/>
    <w:uiPriority w:val="0"/>
    <w:rPr>
      <w:rFonts w:ascii="Times New Roman" w:hAnsi="Times New Roman" w:eastAsia="等线 Light" w:cs="Times New Roman"/>
      <w:sz w:val="28"/>
      <w:szCs w:val="26"/>
      <w:lang w:eastAsia="zh-TW"/>
    </w:rPr>
  </w:style>
  <w:style w:type="paragraph" w:styleId="70">
    <w:name w:val="No Spacing"/>
    <w:qFormat/>
    <w:uiPriority w:val="0"/>
    <w:pPr>
      <w:suppressAutoHyphens/>
      <w:autoSpaceDN w:val="0"/>
      <w:spacing w:after="160" w:line="259" w:lineRule="auto"/>
      <w:jc w:val="both"/>
      <w:textAlignment w:val="baseline"/>
    </w:pPr>
    <w:rPr>
      <w:rFonts w:ascii="Calibri" w:hAnsi="Calibri" w:eastAsia="PMingLiU" w:cs="Calibri"/>
      <w:sz w:val="22"/>
      <w:szCs w:val="22"/>
      <w:lang w:val="en-US" w:eastAsia="zh-TW" w:bidi="ar-SA"/>
    </w:rPr>
  </w:style>
  <w:style w:type="character" w:customStyle="1" w:styleId="71">
    <w:name w:val="标题 3 字符"/>
    <w:basedOn w:val="20"/>
    <w:qFormat/>
    <w:uiPriority w:val="0"/>
    <w:rPr>
      <w:rFonts w:ascii="Times New Roman" w:hAnsi="Times New Roman" w:eastAsia="等线 Light" w:cs="Times New Roman"/>
      <w:color w:val="000000"/>
      <w:sz w:val="24"/>
      <w:szCs w:val="24"/>
      <w:lang w:eastAsia="zh-TW"/>
    </w:rPr>
  </w:style>
  <w:style w:type="character" w:customStyle="1" w:styleId="72">
    <w:name w:val="文档结构图 字符"/>
    <w:basedOn w:val="20"/>
    <w:qFormat/>
    <w:uiPriority w:val="0"/>
    <w:rPr>
      <w:rFonts w:ascii="宋体" w:hAnsi="宋体" w:cs="Calibri"/>
      <w:sz w:val="18"/>
      <w:szCs w:val="18"/>
      <w:lang w:eastAsia="zh-TW"/>
    </w:rPr>
  </w:style>
  <w:style w:type="character" w:customStyle="1" w:styleId="73">
    <w:name w:val="列表段落 字符1"/>
    <w:basedOn w:val="20"/>
    <w:link w:val="26"/>
    <w:qFormat/>
    <w:uiPriority w:val="34"/>
  </w:style>
  <w:style w:type="character" w:customStyle="1" w:styleId="74">
    <w:name w:val="apple-converted-space"/>
    <w:basedOn w:val="20"/>
    <w:qFormat/>
    <w:uiPriority w:val="0"/>
  </w:style>
  <w:style w:type="paragraph" w:customStyle="1" w:styleId="75">
    <w:name w:val="B1"/>
    <w:basedOn w:val="12"/>
    <w:link w:val="76"/>
    <w:qFormat/>
    <w:uiPriority w:val="0"/>
    <w:pPr>
      <w:spacing w:after="180"/>
      <w:ind w:left="568" w:hanging="284"/>
    </w:pPr>
    <w:rPr>
      <w:rFonts w:eastAsia="Times New Roman"/>
      <w:sz w:val="20"/>
      <w:szCs w:val="20"/>
      <w:lang w:eastAsia="en-US"/>
    </w:rPr>
  </w:style>
  <w:style w:type="character" w:customStyle="1" w:styleId="76">
    <w:name w:val="B1 Zchn"/>
    <w:link w:val="75"/>
    <w:qFormat/>
    <w:uiPriority w:val="0"/>
    <w:rPr>
      <w:rFonts w:ascii="Times New Roman" w:hAnsi="Times New Roman" w:eastAsia="Times New Roman"/>
      <w:sz w:val="20"/>
      <w:szCs w:val="20"/>
    </w:rPr>
  </w:style>
  <w:style w:type="character" w:customStyle="1" w:styleId="77">
    <w:name w:val="msoins"/>
    <w:basedOn w:val="20"/>
    <w:qFormat/>
    <w:uiPriority w:val="0"/>
  </w:style>
  <w:style w:type="paragraph" w:customStyle="1" w:styleId="78">
    <w:name w:val="x_msonormal"/>
    <w:basedOn w:val="1"/>
    <w:qFormat/>
    <w:uiPriority w:val="99"/>
    <w:rPr>
      <w:rFonts w:ascii="Calibri" w:hAnsi="Calibri" w:cs="Calibri"/>
      <w:sz w:val="22"/>
      <w:szCs w:val="22"/>
    </w:rPr>
  </w:style>
  <w:style w:type="character" w:customStyle="1" w:styleId="79">
    <w:name w:val="x_apple-converted-space"/>
    <w:basedOn w:val="20"/>
    <w:qFormat/>
    <w:uiPriority w:val="0"/>
  </w:style>
  <w:style w:type="character" w:customStyle="1" w:styleId="80">
    <w:name w:val="TAL Car"/>
    <w:basedOn w:val="20"/>
    <w:link w:val="30"/>
    <w:qFormat/>
    <w:uiPriority w:val="0"/>
    <w:rPr>
      <w:rFonts w:ascii="Arial" w:hAnsi="Arial" w:cs="Arial"/>
      <w:sz w:val="24"/>
      <w:szCs w:val="24"/>
      <w:lang w:eastAsia="ko-KR"/>
    </w:rPr>
  </w:style>
  <w:style w:type="character" w:customStyle="1" w:styleId="81">
    <w:name w:val="B1 Char1"/>
    <w:qFormat/>
    <w:uiPriority w:val="0"/>
    <w:rPr>
      <w:rFonts w:eastAsia="Times New Roman"/>
    </w:rPr>
  </w:style>
  <w:style w:type="paragraph" w:customStyle="1" w:styleId="82">
    <w:name w:val="table"/>
    <w:basedOn w:val="1"/>
    <w:next w:val="1"/>
    <w:link w:val="83"/>
    <w:qFormat/>
    <w:uiPriority w:val="0"/>
    <w:pPr>
      <w:numPr>
        <w:ilvl w:val="0"/>
        <w:numId w:val="5"/>
      </w:numPr>
      <w:spacing w:after="120"/>
      <w:jc w:val="center"/>
    </w:pPr>
    <w:rPr>
      <w:rFonts w:eastAsiaTheme="minorEastAsia"/>
      <w:sz w:val="20"/>
      <w:lang w:eastAsia="zh-CN"/>
    </w:rPr>
  </w:style>
  <w:style w:type="character" w:customStyle="1" w:styleId="83">
    <w:name w:val="table 字符"/>
    <w:basedOn w:val="20"/>
    <w:link w:val="82"/>
    <w:qFormat/>
    <w:uiPriority w:val="0"/>
    <w:rPr>
      <w:rFonts w:ascii="Times New Roman" w:hAnsi="Times New Roman" w:eastAsiaTheme="minorEastAsia"/>
      <w:szCs w:val="24"/>
    </w:rPr>
  </w:style>
  <w:style w:type="paragraph" w:customStyle="1" w:styleId="84">
    <w:name w:val="B2"/>
    <w:basedOn w:val="11"/>
    <w:link w:val="85"/>
    <w:qFormat/>
    <w:uiPriority w:val="0"/>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85">
    <w:name w:val="B2 Char"/>
    <w:link w:val="84"/>
    <w:qFormat/>
    <w:uiPriority w:val="0"/>
    <w:rPr>
      <w:rFonts w:ascii="Times New Roman" w:hAnsi="Times New Roman" w:eastAsia="Times New Roman"/>
      <w:lang w:val="en-GB" w:eastAsia="ja-JP"/>
    </w:rPr>
  </w:style>
  <w:style w:type="paragraph" w:customStyle="1" w:styleId="86">
    <w:name w:val="B3"/>
    <w:basedOn w:val="6"/>
    <w:link w:val="87"/>
    <w:qFormat/>
    <w:uiPriority w:val="0"/>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87">
    <w:name w:val="B3 Char2"/>
    <w:link w:val="86"/>
    <w:qFormat/>
    <w:uiPriority w:val="0"/>
    <w:rPr>
      <w:rFonts w:ascii="Times New Roman" w:hAnsi="Times New Roman" w:eastAsia="Times New Roman"/>
      <w:lang w:val="en-GB" w:eastAsia="ja-JP"/>
    </w:rPr>
  </w:style>
  <w:style w:type="paragraph" w:customStyle="1" w:styleId="88">
    <w:name w:val="Doc-text2"/>
    <w:basedOn w:val="1"/>
    <w:link w:val="89"/>
    <w:qFormat/>
    <w:uiPriority w:val="0"/>
    <w:pPr>
      <w:tabs>
        <w:tab w:val="left" w:pos="1622"/>
      </w:tabs>
      <w:ind w:left="1622" w:hanging="363"/>
    </w:pPr>
    <w:rPr>
      <w:rFonts w:ascii="Arial" w:hAnsi="Arial" w:eastAsia="MS Mincho"/>
      <w:sz w:val="20"/>
      <w:lang w:val="en-GB" w:eastAsia="en-GB"/>
    </w:rPr>
  </w:style>
  <w:style w:type="character" w:customStyle="1" w:styleId="89">
    <w:name w:val="Doc-text2 Char"/>
    <w:link w:val="88"/>
    <w:qFormat/>
    <w:uiPriority w:val="0"/>
    <w:rPr>
      <w:rFonts w:ascii="Arial" w:hAnsi="Arial" w:eastAsia="MS Mincho"/>
      <w:szCs w:val="24"/>
      <w:lang w:val="en-GB" w:eastAsia="en-GB"/>
    </w:rPr>
  </w:style>
  <w:style w:type="character" w:customStyle="1" w:styleId="90">
    <w:name w:val="标题 4 字符"/>
    <w:basedOn w:val="20"/>
    <w:link w:val="5"/>
    <w:semiHidden/>
    <w:qFormat/>
    <w:uiPriority w:val="0"/>
    <w:rPr>
      <w:rFonts w:asciiTheme="majorHAnsi" w:hAnsiTheme="majorHAnsi" w:eastAsiaTheme="majorEastAsia" w:cstheme="majorBidi"/>
      <w:i/>
      <w:iCs/>
      <w:color w:val="376092" w:themeColor="accent1" w:themeShade="BF"/>
      <w:sz w:val="24"/>
      <w:szCs w:val="24"/>
      <w:lang w:eastAsia="ko-KR"/>
    </w:rPr>
  </w:style>
  <w:style w:type="paragraph" w:customStyle="1" w:styleId="91">
    <w:name w:val="正文1"/>
    <w:qFormat/>
    <w:uiPriority w:val="0"/>
    <w:pPr>
      <w:spacing w:before="100" w:beforeAutospacing="1" w:after="180" w:line="259" w:lineRule="auto"/>
      <w:jc w:val="both"/>
    </w:pPr>
    <w:rPr>
      <w:rFonts w:ascii="Times New Roman" w:hAnsi="Times New Roman" w:eastAsia="宋体" w:cs="Times New Roman"/>
      <w:sz w:val="24"/>
      <w:szCs w:val="24"/>
      <w:lang w:val="en-US" w:eastAsia="zh-CN" w:bidi="ar-SA"/>
    </w:rPr>
  </w:style>
  <w:style w:type="paragraph" w:customStyle="1" w:styleId="92">
    <w:name w:val="PL"/>
    <w:link w:val="9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eastAsia="Times New Roman" w:cs="Times New Roman"/>
      <w:sz w:val="16"/>
      <w:lang w:val="en-GB" w:eastAsia="en-GB" w:bidi="ar-SA"/>
    </w:rPr>
  </w:style>
  <w:style w:type="character" w:customStyle="1" w:styleId="93">
    <w:name w:val="PL Char"/>
    <w:link w:val="92"/>
    <w:qFormat/>
    <w:uiPriority w:val="0"/>
    <w:rPr>
      <w:rFonts w:ascii="Courier New" w:hAnsi="Courier New" w:eastAsia="Times New Roman"/>
      <w:sz w:val="16"/>
      <w:shd w:val="clear" w:color="auto" w:fill="E6E6E6"/>
      <w:lang w:val="en-GB" w:eastAsia="en-GB"/>
    </w:rPr>
  </w:style>
  <w:style w:type="paragraph" w:customStyle="1" w:styleId="94">
    <w:name w:val="TH"/>
    <w:basedOn w:val="1"/>
    <w:link w:val="95"/>
    <w:qFormat/>
    <w:uiPriority w:val="0"/>
    <w:pPr>
      <w:keepNext/>
      <w:keepLines/>
      <w:overflowPunct w:val="0"/>
      <w:autoSpaceDE w:val="0"/>
      <w:autoSpaceDN w:val="0"/>
      <w:adjustRightInd w:val="0"/>
      <w:spacing w:before="60" w:after="180"/>
      <w:jc w:val="center"/>
      <w:textAlignment w:val="baseline"/>
    </w:pPr>
    <w:rPr>
      <w:rFonts w:ascii="Arial" w:hAnsi="Arial" w:eastAsia="Times New Roman"/>
      <w:b/>
      <w:sz w:val="20"/>
      <w:szCs w:val="20"/>
      <w:lang w:val="en-GB" w:eastAsia="ja-JP"/>
    </w:rPr>
  </w:style>
  <w:style w:type="character" w:customStyle="1" w:styleId="95">
    <w:name w:val="TH Char"/>
    <w:link w:val="94"/>
    <w:qFormat/>
    <w:uiPriority w:val="0"/>
    <w:rPr>
      <w:rFonts w:ascii="Arial" w:hAnsi="Arial" w:eastAsia="Times New Roman"/>
      <w:b/>
      <w:lang w:val="en-GB" w:eastAsia="ja-JP"/>
    </w:rPr>
  </w:style>
  <w:style w:type="paragraph" w:customStyle="1" w:styleId="96">
    <w:name w:val="x_xxmsonormal"/>
    <w:basedOn w:val="1"/>
    <w:qFormat/>
    <w:uiPriority w:val="99"/>
    <w:rPr>
      <w:rFonts w:eastAsia="Malgun Gothic"/>
    </w:rPr>
  </w:style>
  <w:style w:type="paragraph" w:customStyle="1" w:styleId="97">
    <w:name w:val="수정1"/>
    <w:hidden/>
    <w:semiHidden/>
    <w:qFormat/>
    <w:uiPriority w:val="99"/>
    <w:pPr>
      <w:spacing w:after="160" w:line="259" w:lineRule="auto"/>
      <w:jc w:val="both"/>
    </w:pPr>
    <w:rPr>
      <w:rFonts w:ascii="Times New Roman" w:hAnsi="Times New Roman" w:eastAsia="等线" w:cs="Times New Roman"/>
      <w:sz w:val="24"/>
      <w:szCs w:val="24"/>
      <w:lang w:val="en-US" w:eastAsia="ko-KR" w:bidi="ar-SA"/>
    </w:rPr>
  </w:style>
  <w:style w:type="paragraph" w:customStyle="1" w:styleId="98">
    <w:name w:val="Agreement"/>
    <w:basedOn w:val="1"/>
    <w:qFormat/>
    <w:uiPriority w:val="0"/>
    <w:pPr>
      <w:numPr>
        <w:ilvl w:val="0"/>
        <w:numId w:val="6"/>
      </w:numPr>
      <w:spacing w:before="60"/>
    </w:pPr>
    <w:rPr>
      <w:rFonts w:ascii="Arial" w:hAnsi="Arial" w:eastAsia="宋体" w:cs="Arial"/>
      <w:b/>
      <w:bCs/>
      <w:sz w:val="20"/>
      <w:szCs w:val="20"/>
      <w:lang w:eastAsia="en-GB"/>
    </w:rPr>
  </w:style>
  <w:style w:type="character" w:customStyle="1" w:styleId="99">
    <w:name w:val="批注文字 字符1"/>
    <w:link w:val="9"/>
    <w:qFormat/>
    <w:uiPriority w:val="99"/>
    <w:rPr>
      <w:rFonts w:ascii="Times New Roman" w:hAnsi="Times New Roman" w:eastAsia="宋体"/>
      <w:lang w:eastAsia="en-US"/>
    </w:rPr>
  </w:style>
  <w:style w:type="character" w:customStyle="1" w:styleId="100">
    <w:name w:val="B1 (文字)"/>
    <w:qFormat/>
    <w:locked/>
    <w:uiPriority w:val="0"/>
    <w:rPr>
      <w:rFonts w:ascii="Times New Roman" w:hAnsi="Times New Roman" w:eastAsia="宋体"/>
      <w:lang w:val="en-GB" w:eastAsia="en-US"/>
    </w:rPr>
  </w:style>
  <w:style w:type="paragraph" w:customStyle="1" w:styleId="101">
    <w:name w:val="B4"/>
    <w:basedOn w:val="1"/>
    <w:qFormat/>
    <w:uiPriority w:val="0"/>
    <w:pPr>
      <w:spacing w:after="200" w:line="276" w:lineRule="auto"/>
      <w:ind w:left="1418" w:hanging="284"/>
    </w:pPr>
    <w:rPr>
      <w:rFonts w:eastAsia="t"/>
      <w:sz w:val="20"/>
      <w:szCs w:val="22"/>
      <w:lang w:eastAsia="zh-CN"/>
    </w:rPr>
  </w:style>
  <w:style w:type="paragraph" w:customStyle="1" w:styleId="102">
    <w:name w:val="References"/>
    <w:basedOn w:val="1"/>
    <w:qFormat/>
    <w:uiPriority w:val="0"/>
    <w:pPr>
      <w:numPr>
        <w:ilvl w:val="0"/>
        <w:numId w:val="7"/>
      </w:numPr>
      <w:autoSpaceDE w:val="0"/>
      <w:autoSpaceDN w:val="0"/>
      <w:snapToGrid w:val="0"/>
      <w:spacing w:after="60"/>
    </w:pPr>
    <w:rPr>
      <w:rFonts w:eastAsiaTheme="minorEastAsia"/>
      <w:sz w:val="20"/>
      <w:szCs w:val="16"/>
      <w:lang w:eastAsia="en-US"/>
    </w:rPr>
  </w:style>
  <w:style w:type="character" w:customStyle="1" w:styleId="103">
    <w:name w:val="B1 Char"/>
    <w:qFormat/>
    <w:locked/>
    <w:uiPriority w:val="0"/>
    <w:rPr>
      <w:rFonts w:eastAsia="宋体"/>
      <w:lang w:val="en-GB"/>
    </w:rPr>
  </w:style>
  <w:style w:type="paragraph" w:customStyle="1" w:styleId="104">
    <w:name w:val="Normal 9 point spacing"/>
    <w:basedOn w:val="10"/>
    <w:link w:val="105"/>
    <w:qFormat/>
    <w:uiPriority w:val="0"/>
    <w:pPr>
      <w:spacing w:before="240" w:after="60"/>
    </w:pPr>
    <w:rPr>
      <w:rFonts w:eastAsia="MS Mincho"/>
      <w:sz w:val="20"/>
      <w:lang w:val="zh-CN" w:eastAsia="en-US"/>
    </w:rPr>
  </w:style>
  <w:style w:type="character" w:customStyle="1" w:styleId="105">
    <w:name w:val="Normal 9 point spacing Char"/>
    <w:link w:val="104"/>
    <w:qFormat/>
    <w:uiPriority w:val="0"/>
    <w:rPr>
      <w:rFonts w:ascii="Times New Roman" w:hAnsi="Times New Roman" w:eastAsia="MS Mincho"/>
      <w:szCs w:val="24"/>
      <w:lang w:val="zh-CN" w:eastAsia="en-US"/>
    </w:rPr>
  </w:style>
  <w:style w:type="paragraph" w:customStyle="1" w:styleId="106">
    <w:name w:val="正文2"/>
    <w:qFormat/>
    <w:uiPriority w:val="0"/>
    <w:pPr>
      <w:spacing w:before="100" w:beforeAutospacing="1" w:after="180" w:line="259" w:lineRule="auto"/>
      <w:jc w:val="both"/>
    </w:pPr>
    <w:rPr>
      <w:rFonts w:ascii="Times New Roman" w:hAnsi="Times New Roman" w:eastAsia="宋体" w:cs="Times New Roman"/>
      <w:sz w:val="24"/>
      <w:szCs w:val="24"/>
      <w:lang w:val="en-US" w:eastAsia="zh-CN" w:bidi="ar-SA"/>
    </w:rPr>
  </w:style>
  <w:style w:type="paragraph" w:customStyle="1" w:styleId="107">
    <w:name w:val="标题 31"/>
    <w:basedOn w:val="1"/>
    <w:next w:val="106"/>
    <w:qFormat/>
    <w:uiPriority w:val="0"/>
    <w:pPr>
      <w:keepNext/>
      <w:keepLines/>
      <w:widowControl w:val="0"/>
      <w:spacing w:before="120" w:after="180"/>
      <w:ind w:left="1134" w:hanging="1134"/>
      <w:outlineLvl w:val="2"/>
    </w:pPr>
    <w:rPr>
      <w:rFonts w:ascii="Arial" w:hAnsi="Arial" w:eastAsia="宋体"/>
      <w:sz w:val="28"/>
      <w:szCs w:val="28"/>
      <w:lang w:eastAsia="zh-CN"/>
    </w:rPr>
  </w:style>
  <w:style w:type="paragraph" w:customStyle="1" w:styleId="108">
    <w:name w:val="标题 41"/>
    <w:basedOn w:val="1"/>
    <w:next w:val="106"/>
    <w:qFormat/>
    <w:uiPriority w:val="0"/>
    <w:pPr>
      <w:keepNext/>
      <w:keepLines/>
      <w:widowControl w:val="0"/>
      <w:spacing w:before="120" w:after="180"/>
      <w:ind w:left="1418" w:hanging="1418"/>
      <w:outlineLvl w:val="3"/>
    </w:pPr>
    <w:rPr>
      <w:rFonts w:ascii="Arial" w:hAnsi="Arial" w:eastAsia="宋体"/>
      <w:lang w:eastAsia="zh-CN"/>
    </w:rPr>
  </w:style>
  <w:style w:type="paragraph" w:customStyle="1" w:styleId="109">
    <w:name w:val="tabletext"/>
    <w:basedOn w:val="82"/>
    <w:qFormat/>
    <w:uiPriority w:val="0"/>
    <w:pPr>
      <w:numPr>
        <w:numId w:val="0"/>
      </w:numPr>
      <w:spacing w:after="0"/>
    </w:pPr>
  </w:style>
  <w:style w:type="paragraph" w:customStyle="1" w:styleId="110">
    <w:name w:val="EQ"/>
    <w:basedOn w:val="1"/>
    <w:next w:val="1"/>
    <w:qFormat/>
    <w:uiPriority w:val="99"/>
    <w:pPr>
      <w:keepLines/>
      <w:tabs>
        <w:tab w:val="center" w:pos="4536"/>
        <w:tab w:val="right" w:pos="9072"/>
      </w:tabs>
      <w:spacing w:after="180"/>
      <w:jc w:val="left"/>
    </w:pPr>
    <w:rPr>
      <w:rFonts w:eastAsia="Times New Roman"/>
      <w:sz w:val="20"/>
      <w:szCs w:val="20"/>
      <w:lang w:val="en-GB"/>
    </w:rPr>
  </w:style>
  <w:style w:type="paragraph" w:customStyle="1" w:styleId="111">
    <w:name w:val="No Spacing1"/>
    <w:qFormat/>
    <w:uiPriority w:val="1"/>
    <w:pPr>
      <w:spacing w:after="160" w:line="259" w:lineRule="auto"/>
    </w:pPr>
    <w:rPr>
      <w:rFonts w:ascii="Times New Roman" w:hAnsi="Times New Roman"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82D59C-056B-4389-9342-1D78EB321C38}">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 Co.,Ltd.</Company>
  <Pages>20</Pages>
  <Words>7107</Words>
  <Characters>40514</Characters>
  <Lines>337</Lines>
  <Paragraphs>95</Paragraphs>
  <TotalTime>0</TotalTime>
  <ScaleCrop>false</ScaleCrop>
  <LinksUpToDate>false</LinksUpToDate>
  <CharactersWithSpaces>47526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2022-05-11T01:18:00Z</dcterms:created>
  <dc:creator>Md Saifur Rahman/Communication Standards /SRA/Staff Engineer/Samsung Electronics (STA)</dc:creator>
  <cp:keywords>CTPClassification=CTP_NT</cp:keywords>
  <cp:lastModifiedBy>Mod</cp:lastModifiedBy>
  <cp:lastPrinted>2021-10-06T09:28:00Z</cp:lastPrinted>
  <dcterms:modified xsi:type="dcterms:W3CDTF">2022-05-19T10:01:02Z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TitusGUID">
    <vt:lpwstr>3061089c-032f-44c0-8202-3e2cc0418590</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WM2f9f15c0d0334722af80d7498ae8a518">
    <vt:lpwstr>CWMW12znsIa+W3C4d+Gihblnqv8h7EL86GoNMv6vC1eWE8oSzu5QkOuRxx1GaxTS2vTS83ixeLjcj0tPiIsygdE/g==</vt:lpwstr>
  </property>
  <property fmtid="{D5CDD505-2E9C-101B-9397-08002B2CF9AE}" pid="10" name="ICV">
    <vt:lpwstr>39107aac2b5c4e9285512d64beed68aa</vt:lpwstr>
  </property>
  <property fmtid="{D5CDD505-2E9C-101B-9397-08002B2CF9AE}" pid="11" name="KSOProductBuildVer">
    <vt:lpwstr>2052-11.8.2.9022</vt:lpwstr>
  </property>
  <property fmtid="{D5CDD505-2E9C-101B-9397-08002B2CF9AE}" pid="12" name="_dlc_DocIdItemGuid">
    <vt:lpwstr>2a0960dd-9de2-4754-85bc-482db36a963d</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1651719057</vt:lpwstr>
  </property>
</Properties>
</file>